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297" w:rsidRPr="003067C3" w:rsidRDefault="00711297" w:rsidP="00986843">
      <w:pPr>
        <w:ind w:left="3402" w:right="991" w:hanging="992"/>
        <w:jc w:val="both"/>
        <w:rPr>
          <w:rFonts w:ascii="Tahoma" w:hAnsi="Tahoma" w:cs="Tahoma"/>
          <w:i/>
          <w:sz w:val="20"/>
          <w:szCs w:val="20"/>
        </w:rPr>
      </w:pPr>
      <w:r w:rsidRPr="003067C3">
        <w:rPr>
          <w:rFonts w:ascii="Tahoma" w:hAnsi="Tahoma" w:cs="Tahoma"/>
          <w:b/>
          <w:i/>
          <w:sz w:val="20"/>
          <w:szCs w:val="20"/>
        </w:rPr>
        <w:t xml:space="preserve">Sumilla: </w:t>
      </w:r>
      <w:r w:rsidR="00C156F5" w:rsidRPr="003067C3">
        <w:rPr>
          <w:rFonts w:ascii="Tahoma" w:hAnsi="Tahoma" w:cs="Tahoma"/>
          <w:i/>
          <w:sz w:val="20"/>
          <w:szCs w:val="20"/>
        </w:rPr>
        <w:t>“</w:t>
      </w:r>
      <w:r w:rsidR="00C46DE3" w:rsidRPr="003067C3">
        <w:rPr>
          <w:rFonts w:ascii="Tahoma" w:hAnsi="Tahoma" w:cs="Tahoma"/>
          <w:i/>
          <w:sz w:val="20"/>
          <w:szCs w:val="20"/>
        </w:rPr>
        <w:tab/>
        <w:t xml:space="preserve">Por lo tanto, a pesar de que existe responsabilidad administrativa por parte del Consorcio, tal como se indicó en la resolución materia del presente recurso de reconsideración, este Tribunal estima que corresponde reformar la sanción impuesta mediante esta última, en virtud a las circunstancias atenuantes de responsabilidad alegadas por el </w:t>
      </w:r>
      <w:r w:rsidR="003067C3">
        <w:rPr>
          <w:rFonts w:ascii="Tahoma" w:hAnsi="Tahoma" w:cs="Tahoma"/>
          <w:i/>
          <w:sz w:val="20"/>
          <w:szCs w:val="20"/>
        </w:rPr>
        <w:t xml:space="preserve">Postor </w:t>
      </w:r>
      <w:r w:rsidR="00C46DE3" w:rsidRPr="003067C3">
        <w:rPr>
          <w:rFonts w:ascii="Tahoma" w:hAnsi="Tahoma" w:cs="Tahoma"/>
          <w:i/>
          <w:sz w:val="20"/>
          <w:szCs w:val="20"/>
        </w:rPr>
        <w:t>en la presente impugnación”</w:t>
      </w:r>
      <w:r w:rsidR="00491A1B" w:rsidRPr="003067C3">
        <w:rPr>
          <w:rFonts w:ascii="Tahoma" w:hAnsi="Tahoma" w:cs="Tahoma"/>
          <w:i/>
          <w:sz w:val="20"/>
          <w:szCs w:val="20"/>
        </w:rPr>
        <w:t>.</w:t>
      </w:r>
    </w:p>
    <w:p w:rsidR="00711297" w:rsidRPr="003067C3" w:rsidRDefault="00711297" w:rsidP="00986843">
      <w:pPr>
        <w:ind w:left="3402" w:right="991" w:hanging="992"/>
        <w:jc w:val="both"/>
        <w:rPr>
          <w:rFonts w:ascii="Tahoma" w:hAnsi="Tahoma" w:cs="Tahoma"/>
          <w:i/>
          <w:sz w:val="20"/>
          <w:szCs w:val="20"/>
        </w:rPr>
      </w:pPr>
    </w:p>
    <w:p w:rsidR="00711297" w:rsidRPr="003067C3" w:rsidRDefault="00711297" w:rsidP="00986843">
      <w:pPr>
        <w:pStyle w:val="Textoindependiente3"/>
        <w:ind w:left="4956" w:firstLine="708"/>
        <w:jc w:val="both"/>
        <w:rPr>
          <w:rFonts w:ascii="Tahoma" w:hAnsi="Tahoma" w:cs="Tahoma"/>
          <w:b/>
          <w:sz w:val="20"/>
          <w:szCs w:val="20"/>
        </w:rPr>
      </w:pPr>
      <w:r w:rsidRPr="003067C3">
        <w:rPr>
          <w:rFonts w:ascii="Tahoma" w:hAnsi="Tahoma" w:cs="Tahoma"/>
          <w:b/>
          <w:sz w:val="20"/>
          <w:szCs w:val="20"/>
        </w:rPr>
        <w:t xml:space="preserve">Lima, </w:t>
      </w:r>
      <w:r w:rsidR="00685D04">
        <w:rPr>
          <w:rFonts w:ascii="Tahoma" w:hAnsi="Tahoma" w:cs="Tahoma"/>
          <w:b/>
          <w:sz w:val="20"/>
          <w:szCs w:val="20"/>
        </w:rPr>
        <w:t>11 de Marzo de 2011</w:t>
      </w:r>
    </w:p>
    <w:p w:rsidR="00711297" w:rsidRPr="003067C3" w:rsidRDefault="00711297" w:rsidP="00986843">
      <w:pPr>
        <w:jc w:val="both"/>
        <w:rPr>
          <w:rFonts w:ascii="Tahoma" w:hAnsi="Tahoma" w:cs="Tahoma"/>
          <w:sz w:val="20"/>
          <w:szCs w:val="20"/>
        </w:rPr>
      </w:pPr>
      <w:r w:rsidRPr="003067C3">
        <w:rPr>
          <w:rFonts w:ascii="Tahoma" w:hAnsi="Tahoma" w:cs="Tahoma"/>
          <w:b/>
          <w:i/>
          <w:sz w:val="20"/>
          <w:szCs w:val="20"/>
        </w:rPr>
        <w:t xml:space="preserve">          </w:t>
      </w:r>
      <w:r w:rsidRPr="003067C3">
        <w:rPr>
          <w:rFonts w:ascii="Tahoma" w:hAnsi="Tahoma" w:cs="Tahoma"/>
          <w:b/>
          <w:sz w:val="20"/>
          <w:szCs w:val="20"/>
        </w:rPr>
        <w:t xml:space="preserve">VISTO </w:t>
      </w:r>
      <w:r w:rsidRPr="003067C3">
        <w:rPr>
          <w:rFonts w:ascii="Tahoma" w:hAnsi="Tahoma" w:cs="Tahoma"/>
          <w:sz w:val="20"/>
          <w:szCs w:val="20"/>
        </w:rPr>
        <w:t xml:space="preserve">en sesión de fecha </w:t>
      </w:r>
      <w:r w:rsidR="00CC02FE" w:rsidRPr="003067C3">
        <w:rPr>
          <w:rFonts w:ascii="Tahoma" w:hAnsi="Tahoma" w:cs="Tahoma"/>
          <w:sz w:val="20"/>
          <w:szCs w:val="20"/>
        </w:rPr>
        <w:t>11 de marzo de 2011</w:t>
      </w:r>
      <w:r w:rsidRPr="003067C3">
        <w:rPr>
          <w:rFonts w:ascii="Tahoma" w:hAnsi="Tahoma" w:cs="Tahoma"/>
          <w:sz w:val="20"/>
          <w:szCs w:val="20"/>
        </w:rPr>
        <w:t xml:space="preserve">, de la </w:t>
      </w:r>
      <w:r w:rsidR="00CC02FE" w:rsidRPr="003067C3">
        <w:rPr>
          <w:rFonts w:ascii="Tahoma" w:hAnsi="Tahoma" w:cs="Tahoma"/>
          <w:sz w:val="20"/>
          <w:szCs w:val="20"/>
        </w:rPr>
        <w:t>Primera</w:t>
      </w:r>
      <w:r w:rsidRPr="003067C3">
        <w:rPr>
          <w:rFonts w:ascii="Tahoma" w:hAnsi="Tahoma" w:cs="Tahoma"/>
          <w:sz w:val="20"/>
          <w:szCs w:val="20"/>
        </w:rPr>
        <w:t xml:space="preserve"> Sala del Tribunal de Contrataciones del Estado, el Expediente № </w:t>
      </w:r>
      <w:r w:rsidR="003067C3">
        <w:rPr>
          <w:rFonts w:ascii="Tahoma" w:hAnsi="Tahoma" w:cs="Tahoma"/>
          <w:sz w:val="20"/>
          <w:szCs w:val="20"/>
        </w:rPr>
        <w:t>958</w:t>
      </w:r>
      <w:r w:rsidR="00B327B4" w:rsidRPr="003067C3">
        <w:rPr>
          <w:rFonts w:ascii="Tahoma" w:hAnsi="Tahoma" w:cs="Tahoma"/>
          <w:sz w:val="20"/>
          <w:szCs w:val="20"/>
        </w:rPr>
        <w:t>/2010</w:t>
      </w:r>
      <w:r w:rsidRPr="003067C3">
        <w:rPr>
          <w:rFonts w:ascii="Tahoma" w:hAnsi="Tahoma" w:cs="Tahoma"/>
          <w:sz w:val="20"/>
          <w:szCs w:val="20"/>
        </w:rPr>
        <w:t xml:space="preserve">.TC sobre el recurso de reconsideración interpuesto por </w:t>
      </w:r>
      <w:r w:rsidR="008556BE">
        <w:rPr>
          <w:rFonts w:ascii="Tahoma" w:hAnsi="Tahoma" w:cs="Tahoma"/>
          <w:sz w:val="20"/>
          <w:szCs w:val="20"/>
        </w:rPr>
        <w:t xml:space="preserve">la empresa </w:t>
      </w:r>
      <w:r w:rsidR="008556BE" w:rsidRPr="008556BE">
        <w:rPr>
          <w:rFonts w:ascii="Tahoma" w:hAnsi="Tahoma" w:cs="Tahoma"/>
          <w:sz w:val="20"/>
          <w:szCs w:val="20"/>
        </w:rPr>
        <w:t>FAGA MOTORS S.A.</w:t>
      </w:r>
      <w:r w:rsidR="00C46DE3" w:rsidRPr="003067C3">
        <w:rPr>
          <w:rFonts w:ascii="Tahoma" w:hAnsi="Tahoma" w:cs="Tahoma"/>
          <w:sz w:val="20"/>
          <w:szCs w:val="20"/>
        </w:rPr>
        <w:t xml:space="preserve"> </w:t>
      </w:r>
      <w:r w:rsidRPr="003067C3">
        <w:rPr>
          <w:rFonts w:ascii="Tahoma" w:hAnsi="Tahoma" w:cs="Tahoma"/>
          <w:sz w:val="20"/>
          <w:szCs w:val="20"/>
        </w:rPr>
        <w:t xml:space="preserve">contra la Resolución </w:t>
      </w:r>
      <w:r w:rsidR="00C46DE3" w:rsidRPr="003067C3">
        <w:rPr>
          <w:rFonts w:ascii="Tahoma" w:hAnsi="Tahoma" w:cs="Tahoma"/>
          <w:sz w:val="20"/>
          <w:szCs w:val="20"/>
        </w:rPr>
        <w:t>№ 21</w:t>
      </w:r>
      <w:r w:rsidR="008556BE">
        <w:rPr>
          <w:rFonts w:ascii="Tahoma" w:hAnsi="Tahoma" w:cs="Tahoma"/>
          <w:sz w:val="20"/>
          <w:szCs w:val="20"/>
        </w:rPr>
        <w:t>3</w:t>
      </w:r>
      <w:r w:rsidR="00C46DE3" w:rsidRPr="003067C3">
        <w:rPr>
          <w:rFonts w:ascii="Tahoma" w:hAnsi="Tahoma" w:cs="Tahoma"/>
          <w:sz w:val="20"/>
          <w:szCs w:val="20"/>
        </w:rPr>
        <w:t>-2011-TC-S3 del 09 de febrero de 2011</w:t>
      </w:r>
      <w:r w:rsidRPr="003067C3">
        <w:rPr>
          <w:rFonts w:ascii="Tahoma" w:hAnsi="Tahoma" w:cs="Tahoma"/>
          <w:sz w:val="20"/>
          <w:szCs w:val="20"/>
        </w:rPr>
        <w:t xml:space="preserve">, que dispuso imponer sanción administrativa de inhabilitación temporal en sus derechos para participar en procesos de selección y contratar con el Estado, por el periodo de </w:t>
      </w:r>
      <w:r w:rsidR="00C46DE3" w:rsidRPr="003067C3">
        <w:rPr>
          <w:rFonts w:ascii="Tahoma" w:hAnsi="Tahoma" w:cs="Tahoma"/>
          <w:sz w:val="20"/>
          <w:szCs w:val="20"/>
        </w:rPr>
        <w:t xml:space="preserve">catorce </w:t>
      </w:r>
      <w:r w:rsidRPr="003067C3">
        <w:rPr>
          <w:rFonts w:ascii="Tahoma" w:hAnsi="Tahoma" w:cs="Tahoma"/>
          <w:sz w:val="20"/>
          <w:szCs w:val="20"/>
        </w:rPr>
        <w:t>(</w:t>
      </w:r>
      <w:r w:rsidR="009C3AD8" w:rsidRPr="003067C3">
        <w:rPr>
          <w:rFonts w:ascii="Tahoma" w:hAnsi="Tahoma" w:cs="Tahoma"/>
          <w:sz w:val="20"/>
          <w:szCs w:val="20"/>
        </w:rPr>
        <w:t>1</w:t>
      </w:r>
      <w:r w:rsidR="00C46DE3" w:rsidRPr="003067C3">
        <w:rPr>
          <w:rFonts w:ascii="Tahoma" w:hAnsi="Tahoma" w:cs="Tahoma"/>
          <w:sz w:val="20"/>
          <w:szCs w:val="20"/>
        </w:rPr>
        <w:t>4</w:t>
      </w:r>
      <w:r w:rsidRPr="003067C3">
        <w:rPr>
          <w:rFonts w:ascii="Tahoma" w:hAnsi="Tahoma" w:cs="Tahoma"/>
          <w:sz w:val="20"/>
          <w:szCs w:val="20"/>
        </w:rPr>
        <w:t xml:space="preserve">) meses; y, atendiendo a los siguientes: </w:t>
      </w:r>
    </w:p>
    <w:p w:rsidR="00711297" w:rsidRPr="003067C3" w:rsidRDefault="00711297" w:rsidP="00986843">
      <w:pPr>
        <w:jc w:val="both"/>
        <w:rPr>
          <w:rFonts w:ascii="Tahoma" w:hAnsi="Tahoma" w:cs="Tahoma"/>
          <w:color w:val="000000"/>
          <w:sz w:val="20"/>
          <w:szCs w:val="20"/>
        </w:rPr>
      </w:pPr>
    </w:p>
    <w:p w:rsidR="00711297" w:rsidRPr="003067C3" w:rsidRDefault="00711297" w:rsidP="00986843">
      <w:pPr>
        <w:jc w:val="both"/>
        <w:rPr>
          <w:rFonts w:ascii="Tahoma" w:hAnsi="Tahoma" w:cs="Tahoma"/>
          <w:b/>
          <w:sz w:val="20"/>
          <w:szCs w:val="20"/>
        </w:rPr>
      </w:pPr>
      <w:r w:rsidRPr="003067C3">
        <w:rPr>
          <w:rFonts w:ascii="Tahoma" w:hAnsi="Tahoma" w:cs="Tahoma"/>
          <w:b/>
          <w:sz w:val="20"/>
          <w:szCs w:val="20"/>
        </w:rPr>
        <w:t>ANTECEDENTES:</w:t>
      </w:r>
    </w:p>
    <w:p w:rsidR="00711297" w:rsidRPr="003067C3" w:rsidRDefault="00711297" w:rsidP="00986843">
      <w:pPr>
        <w:jc w:val="both"/>
        <w:rPr>
          <w:rFonts w:ascii="Tahoma" w:hAnsi="Tahoma" w:cs="Tahoma"/>
          <w:b/>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b/>
          <w:bCs/>
          <w:sz w:val="20"/>
          <w:szCs w:val="20"/>
        </w:rPr>
      </w:pPr>
      <w:r w:rsidRPr="003067C3">
        <w:rPr>
          <w:rFonts w:ascii="Tahoma" w:hAnsi="Tahoma" w:cs="Tahoma"/>
          <w:sz w:val="20"/>
          <w:szCs w:val="20"/>
        </w:rPr>
        <w:t>El 11 de junio de 2010, la Municipalidad Provincial de Chincha</w:t>
      </w:r>
      <w:r w:rsidRPr="003067C3">
        <w:rPr>
          <w:rFonts w:ascii="Tahoma" w:hAnsi="Tahoma" w:cs="Tahoma"/>
          <w:sz w:val="20"/>
          <w:szCs w:val="20"/>
          <w:lang w:val="es-PE"/>
        </w:rPr>
        <w:t xml:space="preserve">, en adelante la Entidad, </w:t>
      </w:r>
      <w:r w:rsidRPr="003067C3">
        <w:rPr>
          <w:rFonts w:ascii="Tahoma" w:hAnsi="Tahoma" w:cs="Tahoma"/>
          <w:sz w:val="20"/>
          <w:szCs w:val="20"/>
        </w:rPr>
        <w:t>convocó la Adjudicación de Menor Cuantía № 21-2010-CEP/MPCH, Segunda Convocatoria, para la “Compra de 03 camionetas doble cabina 4x2 diesel para las Áreas de Serenazgo y Vaso de Leche de la Entidad, bajo el sistema de suma alzada, con un valor referencial ascendente a S/. 168 000.00 (Ciento sesenta y ocho mil con 00/100 nuevos soles), incluido los impuestos de Ley.</w:t>
      </w:r>
    </w:p>
    <w:p w:rsidR="003067C3" w:rsidRPr="003067C3" w:rsidRDefault="003067C3" w:rsidP="003067C3">
      <w:pPr>
        <w:tabs>
          <w:tab w:val="left" w:pos="4320"/>
        </w:tabs>
        <w:ind w:left="567"/>
        <w:rPr>
          <w:rFonts w:ascii="Tahoma" w:hAnsi="Tahoma" w:cs="Tahoma"/>
          <w:b/>
          <w:bCs/>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El 23 de junio de 2010, se llevó a cabo el acto privado de otorgamiento de la Buena Pro, siendo adjudicado a la empresa FAGA MOTORS S.A., en adelante el Postor, por su oferta económica equivalente a la suma de S/. 122 132.70. Cabe señalar, que el Acta de Otorgamiento de la Buena Pro fue publicada en la ficha del proceso de selección del SEACE el 24 de junio de 2010.</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Mediante Carta de fecha 02 de julio de 2010, remitida vía correo electrónico a la Entidad el mismo día, mes y año, el Postor se dirigió a la Entidad comunicándole que no podía cumplir con la entrega de los bienes adjudicados dentro del plazo estipulado, toda vez que por un error en su gerencia vendieron una unidad (camioneta) de las que había cotizado en el referido proceso de selección.</w:t>
      </w:r>
    </w:p>
    <w:p w:rsidR="003067C3" w:rsidRPr="003067C3" w:rsidRDefault="003067C3" w:rsidP="003067C3">
      <w:pPr>
        <w:tabs>
          <w:tab w:val="left" w:pos="4320"/>
        </w:tabs>
        <w:ind w:left="567"/>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Con Oficios №s 489-504/2010-A/MPCH presentados el 16 y 20 de julio de 2010, la Entidad puso en conocimiento del Tribunal de Contrataciones del Estado, en adelante el Tribunal, que el Postor no había cumplido con suscribir el contrato derivado de la Adjudicación de Menor Cuantía № 21-2010-CEP/MPCH. Para tal efecto, adjuntó el Informe Técnico Legal № 556-SGA/MPCH de fecha 13 de julio de 2010, mediante el cual manifestó que el Postor había informado que no podía cumplir con la entrega de los bienes adjudicados.</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lastRenderedPageBreak/>
        <w:t xml:space="preserve">Mediante decreto de fecha 23 de julio de 2010, notificado el 20 de septiembre del mismo año, previamente al inicio del procedimiento administrativo sancionador, el Tribunal requirió a la Entidad que remita, entre otros, la carta de citación para la suscripción del contrato, debidamente recepcionada por el Postor. </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A través del escrito de fecha 15 de octubre de 2010, la Entidad no remitió la documentación solicitada por el Tribunal. No obstante ello, manifestó que “</w:t>
      </w:r>
      <w:r w:rsidRPr="003067C3">
        <w:rPr>
          <w:rFonts w:ascii="Tahoma" w:hAnsi="Tahoma" w:cs="Tahoma"/>
          <w:i/>
          <w:sz w:val="20"/>
          <w:szCs w:val="20"/>
        </w:rPr>
        <w:t>al Postor se le comunicó vía Nextel № 121*2342, en varias oportunidades, para que acerque a recepcionar el documento para la firma del contrato, siendo que no se acercó en ninguna oportunidad</w:t>
      </w:r>
      <w:r w:rsidRPr="003067C3">
        <w:rPr>
          <w:rFonts w:ascii="Tahoma" w:hAnsi="Tahoma" w:cs="Tahoma"/>
          <w:sz w:val="20"/>
          <w:szCs w:val="20"/>
        </w:rPr>
        <w:t xml:space="preserve">”. (sic) </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Mediante decreto de fecha 21 de octubre de 2010, previa razón de la Secretaria del Tribunal, se remitieron los actuados a la Tercera Sala del Tribunal para que se pronuncie respecto al inicio de procedimiento administrativo sancionador contra el Postor.</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 xml:space="preserve">A través del Acuerdo № 539/2010.TC-S3 de fecha 09 de noviembre de 2009, el Tribunal acordó iniciar procedimiento administrativo sancionador contra el Postor,  por su supuesta responsabilidad en no mantener su oferta hasta el consentimiento de la Buena Pro, causal de sanción prevista en </w:t>
      </w:r>
      <w:r w:rsidRPr="003067C3">
        <w:rPr>
          <w:rFonts w:ascii="Tahoma" w:hAnsi="Tahoma" w:cs="Tahoma"/>
          <w:bCs/>
          <w:sz w:val="20"/>
          <w:szCs w:val="20"/>
        </w:rPr>
        <w:t>el literal a) del numeral 1) del artículo 237 del Reglamento de la Ley de Contrataciones del Estado</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Mediante decreto de fecha 11 de noviembre de 2010, notificado el 01 de diciembre del mismo año, el Tribunal inició procedimiento administrativo sancionador en contra del Postor por supuesta responsabilidad en no mantener su oferta hasta el consentimiento de la Buena Pro, derivada de la Adjudicación de Menor Cuantía № 21-2010-CEP/MPCH, Segunda Convocatoria</w:t>
      </w:r>
      <w:r w:rsidRPr="003067C3">
        <w:rPr>
          <w:rFonts w:ascii="Tahoma" w:hAnsi="Tahoma" w:cs="Tahoma"/>
          <w:bCs/>
          <w:sz w:val="20"/>
          <w:szCs w:val="20"/>
        </w:rPr>
        <w:t xml:space="preserve"> infracción </w:t>
      </w:r>
      <w:r w:rsidRPr="003067C3">
        <w:rPr>
          <w:rFonts w:ascii="Tahoma" w:hAnsi="Tahoma" w:cs="Tahoma"/>
          <w:sz w:val="20"/>
          <w:szCs w:val="20"/>
        </w:rPr>
        <w:t xml:space="preserve">tipificada </w:t>
      </w:r>
      <w:r w:rsidRPr="003067C3">
        <w:rPr>
          <w:rFonts w:ascii="Tahoma" w:hAnsi="Tahoma" w:cs="Tahoma"/>
          <w:bCs/>
          <w:sz w:val="20"/>
          <w:szCs w:val="20"/>
        </w:rPr>
        <w:t>en el literal a) del numeral 1) del artículo 237 del Reglamento de la Ley de Contrataciones del Estado, y le otorgó el plazo de diez  (10) días para que cumpliera con formular sus descargos, bajo apercibimiento de resolver con la documentación obrante en autos.</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Con escrito de fecha 23 de noviembre de 2010, el Postor presentó su escrito de descargos bajo los siguientes términos:</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Conforme consta en nuestra propuesta técnica y económica la representante legal de nuestra empresa es la señora Carmen Aurora Gagó Pérez, la misma que tiene cargo de Gerente General según consta en la Partida Electrónica de Registros de Personas Jurídicas de Lima (sic).</w:t>
      </w:r>
    </w:p>
    <w:p w:rsidR="003067C3" w:rsidRPr="003067C3" w:rsidRDefault="003067C3" w:rsidP="003067C3">
      <w:pPr>
        <w:pStyle w:val="Prrafodelista"/>
        <w:ind w:left="1134" w:hanging="283"/>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A pesar de ello, la Entidad ha tomado como cierto y válido los correos electrónicos enviados por el señor Julio Ponce Hidalgo quien no ocupa ningún cargo en la empresa FAGA MOTORS S.A., siendo que aquél es un vendedor comisionista, razón por la cual, ésta persona carece de toda legitimidad y no tiene capacidad procesal para intervenir en nombre de mi representada, más aún, si no estaba autorizado ni acreditado en el expediente (sic).</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 xml:space="preserve">Por ello, y como medio probatorio adjuntó la Carta Notarial de fecha 18 de noviembre de 2010, diligenciada el 23 de noviembre de 2010, mediante la cual la empresa FAGA MOTORS S.A. comunicó al señor Julio Ponce Hidalgo que iniciaría las acciones legales correspondiente por los perjuicios generados al haber enviado </w:t>
      </w:r>
      <w:r w:rsidRPr="003067C3">
        <w:rPr>
          <w:rFonts w:ascii="Tahoma" w:hAnsi="Tahoma" w:cs="Tahoma"/>
          <w:sz w:val="20"/>
          <w:szCs w:val="20"/>
        </w:rPr>
        <w:lastRenderedPageBreak/>
        <w:t>correos electrónicos señalando que supuestamente la mencionada empresa no podía cumplir con los bienes adjudicados (sic).</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Asimismo, la Entidad en un acto arbitrario otorgó la Buena Pro a la empresa Representaciones e Inversiones P&amp;B S.A.C., sin respetar el plazo de consentimiento de la Buena Pro; es decir, el 05 de julio de 2010, fecha en la cual vencía el plazo para consentir el otorgamiento de la Buena Pro, adjudicó la Buena Pro a la mencionada empresa (sic).</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Ahora bien, la infracción imputada a mi representada se tipifica cuando el postor no mantiene su oferta hasta el consentimiento de la Buena Pro, hecho que no se configura en el presente caso, debido a que no existe ninguna carta o correo ni documento alguno expedido por la representante legal de nuestra empresa ni ninguna persona debidamente autorizada por nuestra empresa en el cual supuestamente nos retractamos de nuestra oferta.</w:t>
      </w:r>
    </w:p>
    <w:p w:rsidR="003067C3" w:rsidRPr="003067C3" w:rsidRDefault="003067C3" w:rsidP="003067C3">
      <w:pPr>
        <w:pStyle w:val="Prrafodelista"/>
        <w:ind w:left="1134" w:hanging="283"/>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Por el contrario, la Entidad no cumplió con el debido procedimiento para la suscripción del contrato, siendo que los correos electrónicos no constituyen prueba alguna para generar convicción a este Colegiado, por lo que solicitamos que en su oportunidad se declare no ha lugar a la imposición de sanción en contra de mi representada.</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widowControl w:val="0"/>
        <w:numPr>
          <w:ilvl w:val="0"/>
          <w:numId w:val="26"/>
        </w:numPr>
        <w:suppressAutoHyphens/>
        <w:ind w:left="1134" w:hanging="283"/>
        <w:jc w:val="both"/>
        <w:rPr>
          <w:rFonts w:ascii="Tahoma" w:hAnsi="Tahoma" w:cs="Tahoma"/>
          <w:sz w:val="20"/>
          <w:szCs w:val="20"/>
        </w:rPr>
      </w:pPr>
      <w:r w:rsidRPr="003067C3">
        <w:rPr>
          <w:rFonts w:ascii="Tahoma" w:hAnsi="Tahoma" w:cs="Tahoma"/>
          <w:sz w:val="20"/>
          <w:szCs w:val="20"/>
        </w:rPr>
        <w:t>Finalmente,  solicito uso de la palabra.</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numPr>
          <w:ilvl w:val="0"/>
          <w:numId w:val="4"/>
        </w:numPr>
        <w:tabs>
          <w:tab w:val="clear" w:pos="720"/>
          <w:tab w:val="num" w:pos="567"/>
        </w:tabs>
        <w:ind w:left="567" w:hanging="567"/>
        <w:jc w:val="both"/>
        <w:rPr>
          <w:rFonts w:ascii="Tahoma" w:hAnsi="Tahoma" w:cs="Tahoma"/>
          <w:sz w:val="20"/>
          <w:szCs w:val="20"/>
        </w:rPr>
      </w:pPr>
      <w:r w:rsidRPr="003067C3">
        <w:rPr>
          <w:rFonts w:ascii="Tahoma" w:hAnsi="Tahoma" w:cs="Tahoma"/>
          <w:sz w:val="20"/>
          <w:szCs w:val="20"/>
        </w:rPr>
        <w:t>Mediante decreto de fecha 26 de noviembre de 2010, se tuvo por apersonado al Postor a la instancia administrativa, y se remitió el expediente a la Tercera Sala del Tribunal para que resolviera.</w:t>
      </w:r>
    </w:p>
    <w:p w:rsidR="003067C3" w:rsidRPr="003067C3" w:rsidRDefault="003067C3" w:rsidP="003067C3">
      <w:pPr>
        <w:tabs>
          <w:tab w:val="left" w:pos="567"/>
        </w:tabs>
        <w:ind w:left="567"/>
        <w:rPr>
          <w:rFonts w:ascii="Tahoma" w:hAnsi="Tahoma" w:cs="Tahoma"/>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El 10 de diciembre de 2010, mediante escrito, la representante legal del Postor reiteró los argumentos expuestos con ocasión a la presentación de sus descargos.</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 xml:space="preserve">EL 28 de diciembre de 2010, se llevo a cabo la Audiencia Pública con la participación del Postor. </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A través del decreto de fecha 29 de diciembre de 2010, se solicitó información adicional a la Entidad.</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El 24 de enero de 2011, la Entidad cumplió con remitir la información solicitada por el Tribunal.</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 xml:space="preserve">A través del escrito presentado el 04 de febrero de 2011, el Postor manifestó que no existe documento suscrito por su representada que supuestamente adjunte los correos de Julio Ponce Hidalgo. Asimismo, manifestó que la Entidad no había cumplido con remitir la documentación solicitada por el Tribunal. </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4"/>
        </w:numPr>
        <w:tabs>
          <w:tab w:val="clear" w:pos="720"/>
          <w:tab w:val="num" w:pos="567"/>
          <w:tab w:val="left" w:pos="4320"/>
        </w:tabs>
        <w:ind w:left="567" w:hanging="567"/>
        <w:jc w:val="both"/>
        <w:rPr>
          <w:rFonts w:ascii="Tahoma" w:hAnsi="Tahoma" w:cs="Tahoma"/>
          <w:sz w:val="20"/>
          <w:szCs w:val="20"/>
        </w:rPr>
      </w:pPr>
      <w:r w:rsidRPr="003067C3">
        <w:rPr>
          <w:rFonts w:ascii="Tahoma" w:hAnsi="Tahoma" w:cs="Tahoma"/>
          <w:sz w:val="20"/>
          <w:szCs w:val="20"/>
        </w:rPr>
        <w:t xml:space="preserve">Mediante Resolución № 213-2010-TC-S3 del 09 de febrero de 2011, notificado el 15 del mismo mes y año, el Tribunal impuso al Postor sanción administrativa de inhabilitación temporal por el periodo de catorce (14) meses en sus derechos de participar en procesos de selección y contratar con el Estado, al haber incurrido en la infracción referida a la </w:t>
      </w:r>
      <w:r w:rsidRPr="003067C3">
        <w:rPr>
          <w:rFonts w:ascii="Tahoma" w:hAnsi="Tahoma" w:cs="Tahoma"/>
          <w:sz w:val="20"/>
          <w:szCs w:val="20"/>
        </w:rPr>
        <w:lastRenderedPageBreak/>
        <w:t>responsabilidad en la no suscripción injustificada del contrato, infracción tipificada en el literal a) del numeral 51.1 del artículo 51 de la Ley en concordancia con el literal a) del numeral 1) del artículo 237 de su Reglamento</w:t>
      </w:r>
      <w:r w:rsidRPr="003067C3">
        <w:rPr>
          <w:rFonts w:ascii="Tahoma" w:hAnsi="Tahoma" w:cs="Tahoma"/>
          <w:bCs/>
          <w:sz w:val="20"/>
          <w:szCs w:val="20"/>
        </w:rPr>
        <w:t>.</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Textoindependiente"/>
        <w:numPr>
          <w:ilvl w:val="0"/>
          <w:numId w:val="4"/>
        </w:numPr>
        <w:tabs>
          <w:tab w:val="clear" w:pos="720"/>
          <w:tab w:val="left" w:pos="-2340"/>
          <w:tab w:val="num" w:pos="567"/>
        </w:tabs>
        <w:spacing w:after="0"/>
        <w:ind w:left="567" w:hanging="567"/>
        <w:jc w:val="both"/>
        <w:rPr>
          <w:rFonts w:ascii="Tahoma" w:hAnsi="Tahoma" w:cs="Tahoma"/>
          <w:sz w:val="20"/>
          <w:szCs w:val="20"/>
        </w:rPr>
      </w:pPr>
      <w:r w:rsidRPr="003067C3">
        <w:rPr>
          <w:rFonts w:ascii="Tahoma" w:hAnsi="Tahoma" w:cs="Tahoma"/>
          <w:sz w:val="20"/>
          <w:szCs w:val="20"/>
        </w:rPr>
        <w:t>Mediante escrito presentado el 21 de febrero de 2011, el Postor interpuso recurso de reconsideración contra la Resolución № 213-2011-TC-S3 de fecha 09 de febrero de 2011 y solicitó al Tribunal que resolviera con arreglo a ley, por los argumentos contenidos en dicho recurso.</w:t>
      </w:r>
    </w:p>
    <w:p w:rsidR="003067C3" w:rsidRPr="003067C3" w:rsidRDefault="003067C3" w:rsidP="003067C3">
      <w:pPr>
        <w:pStyle w:val="Prrafodelista"/>
        <w:ind w:left="567"/>
        <w:rPr>
          <w:rFonts w:ascii="Tahoma" w:hAnsi="Tahoma" w:cs="Tahoma"/>
          <w:sz w:val="20"/>
          <w:szCs w:val="20"/>
        </w:rPr>
      </w:pPr>
    </w:p>
    <w:p w:rsidR="003067C3" w:rsidRPr="003067C3" w:rsidRDefault="003067C3" w:rsidP="003067C3">
      <w:pPr>
        <w:pStyle w:val="Prrafodelista"/>
        <w:numPr>
          <w:ilvl w:val="0"/>
          <w:numId w:val="4"/>
        </w:numPr>
        <w:ind w:left="567" w:hanging="567"/>
        <w:jc w:val="both"/>
        <w:rPr>
          <w:rFonts w:ascii="Tahoma" w:hAnsi="Tahoma" w:cs="Tahoma"/>
          <w:sz w:val="20"/>
          <w:szCs w:val="20"/>
        </w:rPr>
      </w:pPr>
      <w:r w:rsidRPr="003067C3">
        <w:rPr>
          <w:rFonts w:ascii="Tahoma" w:hAnsi="Tahoma" w:cs="Tahoma"/>
          <w:sz w:val="20"/>
          <w:szCs w:val="20"/>
        </w:rPr>
        <w:t xml:space="preserve">Mediante decreto de fecha 29 de noviembre de 2010, se admitió a trámite el recurso de reconsideración interpuesto, se reasignó y remitió el presente expediente a la Primera Sala del Tribunal para que resolviera el recurso de reconsideración presentado por </w:t>
      </w:r>
      <w:r w:rsidRPr="003067C3">
        <w:rPr>
          <w:rFonts w:ascii="Tahoma" w:hAnsi="Tahoma" w:cs="Tahoma"/>
          <w:sz w:val="20"/>
          <w:szCs w:val="20"/>
          <w:shd w:val="clear" w:color="auto" w:fill="FFFFFF"/>
        </w:rPr>
        <w:t>la empresa FAGA MOTORS S.A.</w:t>
      </w:r>
    </w:p>
    <w:p w:rsidR="003067C3" w:rsidRPr="003067C3" w:rsidRDefault="003067C3" w:rsidP="003067C3">
      <w:pPr>
        <w:pStyle w:val="Prrafodelista"/>
        <w:rPr>
          <w:rFonts w:ascii="Tahoma" w:hAnsi="Tahoma" w:cs="Tahoma"/>
          <w:color w:val="FF0000"/>
          <w:sz w:val="20"/>
          <w:szCs w:val="20"/>
        </w:rPr>
      </w:pPr>
    </w:p>
    <w:p w:rsidR="003067C3" w:rsidRPr="003067C3" w:rsidRDefault="003067C3" w:rsidP="003067C3">
      <w:pPr>
        <w:numPr>
          <w:ilvl w:val="0"/>
          <w:numId w:val="4"/>
        </w:numPr>
        <w:tabs>
          <w:tab w:val="left" w:pos="567"/>
        </w:tabs>
        <w:ind w:left="567" w:hanging="593"/>
        <w:jc w:val="both"/>
        <w:rPr>
          <w:rFonts w:ascii="Tahoma" w:hAnsi="Tahoma" w:cs="Tahoma"/>
          <w:sz w:val="20"/>
          <w:szCs w:val="20"/>
        </w:rPr>
      </w:pPr>
      <w:r w:rsidRPr="003067C3">
        <w:rPr>
          <w:rFonts w:ascii="Tahoma" w:hAnsi="Tahoma" w:cs="Tahoma"/>
          <w:sz w:val="20"/>
          <w:szCs w:val="20"/>
        </w:rPr>
        <w:t>A través del escrito presentado el 07 de marzo de 2011, el Postor adjuntó el correo electrónico remitido por el señor Cesar Augusto Yañez Andia. Asimismo, solicitó una Audiencia Pública complementaria; razón por la cual, mediante decreto de fecha 09 de marzo de 2011, se declaró no ha lugar a lo solicitado por el Postor, toda vez que el 04 de marzo de 2011, se llevó a cabo la Audiencia Pública, de manera que el Postor pudiera ahondar en los hechos vertidos en su recurso de reconsideración.</w:t>
      </w:r>
    </w:p>
    <w:p w:rsidR="00A460D5" w:rsidRPr="003067C3" w:rsidRDefault="00A460D5" w:rsidP="00986843">
      <w:pPr>
        <w:tabs>
          <w:tab w:val="left" w:pos="567"/>
        </w:tabs>
        <w:ind w:left="567" w:right="-2"/>
        <w:jc w:val="both"/>
        <w:rPr>
          <w:rFonts w:ascii="Tahoma" w:hAnsi="Tahoma" w:cs="Tahoma"/>
          <w:sz w:val="20"/>
          <w:szCs w:val="20"/>
        </w:rPr>
      </w:pPr>
    </w:p>
    <w:p w:rsidR="00711297" w:rsidRPr="003067C3" w:rsidRDefault="00711297" w:rsidP="00986843">
      <w:pPr>
        <w:jc w:val="both"/>
        <w:rPr>
          <w:rFonts w:ascii="Tahoma" w:hAnsi="Tahoma" w:cs="Tahoma"/>
          <w:b/>
          <w:sz w:val="20"/>
          <w:szCs w:val="20"/>
        </w:rPr>
      </w:pPr>
      <w:r w:rsidRPr="003067C3">
        <w:rPr>
          <w:rFonts w:ascii="Tahoma" w:hAnsi="Tahoma" w:cs="Tahoma"/>
          <w:b/>
          <w:sz w:val="20"/>
          <w:szCs w:val="20"/>
        </w:rPr>
        <w:t>FUNDAMENTACIÓN:</w:t>
      </w:r>
    </w:p>
    <w:p w:rsidR="00711297" w:rsidRPr="003067C3" w:rsidRDefault="00711297" w:rsidP="00986843">
      <w:pPr>
        <w:jc w:val="both"/>
        <w:rPr>
          <w:rFonts w:ascii="Tahoma" w:hAnsi="Tahoma" w:cs="Tahoma"/>
          <w:b/>
          <w:sz w:val="20"/>
          <w:szCs w:val="20"/>
        </w:rPr>
      </w:pPr>
    </w:p>
    <w:p w:rsidR="003067C3" w:rsidRPr="003067C3" w:rsidRDefault="003067C3" w:rsidP="003067C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3067C3">
        <w:rPr>
          <w:rFonts w:ascii="Tahoma" w:hAnsi="Tahoma" w:cs="Tahoma"/>
          <w:sz w:val="20"/>
          <w:szCs w:val="20"/>
        </w:rPr>
        <w:t>El recurso de reconsideración en los procedimientos administrativos sancionadores a cargo del Tribunal ha sido regulado en el artículo 249 del Reglamento de la Ley de Contrataciones del Estado aprobado mediante Decreto Supremo № 184-2008-EF</w:t>
      </w:r>
      <w:r w:rsidRPr="003067C3">
        <w:rPr>
          <w:rFonts w:ascii="Tahoma" w:hAnsi="Tahoma" w:cs="Tahoma"/>
          <w:sz w:val="20"/>
          <w:szCs w:val="20"/>
          <w:vertAlign w:val="superscript"/>
        </w:rPr>
        <w:footnoteReference w:id="2"/>
      </w:r>
      <w:r w:rsidRPr="003067C3">
        <w:rPr>
          <w:rFonts w:ascii="Tahoma" w:hAnsi="Tahoma" w:cs="Tahoma"/>
          <w:sz w:val="20"/>
          <w:szCs w:val="20"/>
        </w:rPr>
        <w:t>, en lo sucesivo el Reglamento, a cuyo tenor aquél debe ser interpuesto dentro de los cinco (5) días hábiles siguientes de la notificación de la resolución que impone la sanción y resuelto en el término de quince (15) días hábiles desde su presentación o subsanación.</w:t>
      </w:r>
    </w:p>
    <w:p w:rsidR="003067C3" w:rsidRPr="003067C3" w:rsidRDefault="003067C3" w:rsidP="003067C3">
      <w:pPr>
        <w:pStyle w:val="Textoindependiente"/>
        <w:widowControl w:val="0"/>
        <w:suppressAutoHyphens/>
        <w:ind w:left="567"/>
        <w:rPr>
          <w:rFonts w:ascii="Tahoma" w:hAnsi="Tahoma" w:cs="Tahoma"/>
          <w:sz w:val="20"/>
          <w:szCs w:val="20"/>
        </w:rPr>
      </w:pPr>
    </w:p>
    <w:p w:rsidR="003067C3" w:rsidRPr="003067C3" w:rsidRDefault="003067C3" w:rsidP="003067C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3067C3">
        <w:rPr>
          <w:rFonts w:ascii="Tahoma" w:hAnsi="Tahoma" w:cs="Tahoma"/>
          <w:sz w:val="20"/>
          <w:szCs w:val="20"/>
        </w:rPr>
        <w:t xml:space="preserve">En el caso de autos, </w:t>
      </w:r>
      <w:r w:rsidRPr="003067C3">
        <w:rPr>
          <w:rFonts w:ascii="Tahoma" w:hAnsi="Tahoma" w:cs="Tahoma"/>
          <w:sz w:val="20"/>
          <w:szCs w:val="20"/>
          <w:shd w:val="clear" w:color="auto" w:fill="FFFFFF"/>
        </w:rPr>
        <w:t>la empresa FAGA MOTORS S.A.</w:t>
      </w:r>
      <w:r w:rsidRPr="003067C3">
        <w:rPr>
          <w:rFonts w:ascii="Tahoma" w:hAnsi="Tahoma" w:cs="Tahoma"/>
          <w:sz w:val="20"/>
          <w:szCs w:val="20"/>
        </w:rPr>
        <w:t xml:space="preserve"> ha interpuesto recurso de reconsideración contra la Resolución № 213-2011-TC-S3 de 09 de de febrero de 2011, mediante la cual el Tribunal le impuso sanción administrativa de inhabilitación temporal en sus derechos para participar en procesos de selección y contratar con el Estado, por el periodo de catorce (14) meses, al haberse determinado su responsabilidad en la comisión de la infracción tipificada en el literal a) del numeral 51.1 del artículo 51 de la Ley en concordancia con literal a) del inciso 1 del artículo 237 del Reglamento</w:t>
      </w:r>
      <w:r w:rsidRPr="003067C3">
        <w:rPr>
          <w:rStyle w:val="Refdenotaalpie"/>
          <w:rFonts w:ascii="Tahoma" w:eastAsia="Calibri" w:hAnsi="Tahoma" w:cs="Tahoma"/>
          <w:sz w:val="20"/>
          <w:szCs w:val="20"/>
        </w:rPr>
        <w:footnoteReference w:id="3"/>
      </w:r>
      <w:r w:rsidRPr="003067C3">
        <w:rPr>
          <w:rFonts w:ascii="Tahoma" w:hAnsi="Tahoma" w:cs="Tahoma"/>
          <w:sz w:val="20"/>
          <w:szCs w:val="20"/>
        </w:rPr>
        <w:t>.</w:t>
      </w:r>
    </w:p>
    <w:p w:rsidR="003067C3" w:rsidRPr="003067C3" w:rsidRDefault="003067C3" w:rsidP="003067C3">
      <w:pPr>
        <w:pStyle w:val="Prrafodelista"/>
        <w:ind w:left="1134"/>
        <w:rPr>
          <w:rFonts w:ascii="Tahoma" w:hAnsi="Tahoma" w:cs="Tahoma"/>
          <w:sz w:val="20"/>
          <w:szCs w:val="20"/>
        </w:rPr>
      </w:pPr>
    </w:p>
    <w:p w:rsidR="003067C3" w:rsidRPr="003067C3" w:rsidRDefault="003067C3" w:rsidP="003067C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3067C3">
        <w:rPr>
          <w:rFonts w:ascii="Tahoma" w:hAnsi="Tahoma" w:cs="Tahoma"/>
          <w:sz w:val="20"/>
          <w:szCs w:val="20"/>
        </w:rPr>
        <w:t xml:space="preserve">Previamente este Colegiado debe analizar si el recurso materia de análisis ha sido interpuesto oportunamente, es decir dentro del plazo señalado expresamente en la </w:t>
      </w:r>
      <w:r w:rsidRPr="003067C3">
        <w:rPr>
          <w:rFonts w:ascii="Tahoma" w:hAnsi="Tahoma" w:cs="Tahoma"/>
          <w:sz w:val="20"/>
          <w:szCs w:val="20"/>
        </w:rPr>
        <w:lastRenderedPageBreak/>
        <w:t>normativa precitada.</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3067C3">
        <w:rPr>
          <w:rFonts w:ascii="Tahoma" w:hAnsi="Tahoma" w:cs="Tahoma"/>
          <w:sz w:val="20"/>
          <w:szCs w:val="20"/>
        </w:rPr>
        <w:t>En el presente caso, se ha verificado que la Resolución № 213-2011-TC-S3 fue notificada al Postor el 15 de febrero de 2011 y el recurso de reconsideración fue ingresado a la Mesa de Partes del Tribunal el 21 de febrero de 2011, por lo que dicho recurso interpuesto por el impugnante se realizó dentro del plazo previsto en el artículo 249 del Reglamento.</w:t>
      </w:r>
    </w:p>
    <w:p w:rsidR="003067C3" w:rsidRPr="003067C3" w:rsidRDefault="003067C3" w:rsidP="003067C3">
      <w:pPr>
        <w:pStyle w:val="Prrafodelista"/>
        <w:ind w:left="1134"/>
        <w:rPr>
          <w:rFonts w:ascii="Tahoma" w:hAnsi="Tahoma" w:cs="Tahoma"/>
          <w:sz w:val="20"/>
          <w:szCs w:val="20"/>
        </w:rPr>
      </w:pPr>
    </w:p>
    <w:p w:rsidR="003067C3" w:rsidRPr="003067C3" w:rsidRDefault="003067C3" w:rsidP="003067C3">
      <w:pPr>
        <w:pStyle w:val="Textoindependiente"/>
        <w:widowControl w:val="0"/>
        <w:numPr>
          <w:ilvl w:val="0"/>
          <w:numId w:val="5"/>
        </w:numPr>
        <w:tabs>
          <w:tab w:val="clear" w:pos="720"/>
          <w:tab w:val="num" w:pos="567"/>
        </w:tabs>
        <w:suppressAutoHyphens/>
        <w:spacing w:after="0"/>
        <w:ind w:left="567" w:hanging="567"/>
        <w:jc w:val="both"/>
        <w:rPr>
          <w:rFonts w:ascii="Tahoma" w:hAnsi="Tahoma" w:cs="Tahoma"/>
          <w:sz w:val="20"/>
          <w:szCs w:val="20"/>
        </w:rPr>
      </w:pPr>
      <w:r w:rsidRPr="003067C3">
        <w:rPr>
          <w:rFonts w:ascii="Tahoma" w:hAnsi="Tahoma" w:cs="Tahoma"/>
          <w:sz w:val="20"/>
          <w:szCs w:val="20"/>
        </w:rPr>
        <w:t>Ahora bien, en el presente recurso de reconsideración, el Postor ha fundamentado su recurso de reconsideración bajo los siguientes argumentos:</w:t>
      </w:r>
    </w:p>
    <w:p w:rsidR="003067C3" w:rsidRPr="003067C3" w:rsidRDefault="003067C3" w:rsidP="003067C3">
      <w:pPr>
        <w:pStyle w:val="Prrafodelista"/>
        <w:ind w:left="1276" w:hanging="425"/>
        <w:rPr>
          <w:rFonts w:ascii="Tahoma" w:hAnsi="Tahoma" w:cs="Tahoma"/>
          <w:sz w:val="20"/>
          <w:szCs w:val="20"/>
        </w:rPr>
      </w:pPr>
    </w:p>
    <w:p w:rsidR="003067C3" w:rsidRPr="003067C3" w:rsidRDefault="003067C3" w:rsidP="003067C3">
      <w:pPr>
        <w:pStyle w:val="Prrafodelista"/>
        <w:numPr>
          <w:ilvl w:val="0"/>
          <w:numId w:val="27"/>
        </w:numPr>
        <w:tabs>
          <w:tab w:val="left" w:pos="426"/>
        </w:tabs>
        <w:ind w:left="1276" w:hanging="425"/>
        <w:jc w:val="both"/>
        <w:rPr>
          <w:rFonts w:ascii="Tahoma" w:hAnsi="Tahoma" w:cs="Tahoma"/>
          <w:sz w:val="20"/>
          <w:szCs w:val="20"/>
        </w:rPr>
      </w:pPr>
      <w:r w:rsidRPr="003067C3">
        <w:rPr>
          <w:rFonts w:ascii="Tahoma" w:hAnsi="Tahoma" w:cs="Tahoma"/>
          <w:sz w:val="20"/>
          <w:szCs w:val="20"/>
        </w:rPr>
        <w:t>La Entidad violó el debido procedimiento que rige la contratación pública, toda vez que no respeto el plazo de consentimiento de la Buena Pro, por cuanto otorgó la Buena Pro a la Empresa Representaciones e Inversiones P&amp;B S.A.C., sin que exista resolución de anulación de la Buena Pro adjudicada a nuestro favor. Razón por la cual, si la Entidad no cumplió con los plazos para el consentimiento de la Buena Pro, no se configura la supuesta responsabilidad por no mantener la oferta hasta el consentimiento de la Buena Pro. (sic)</w:t>
      </w:r>
    </w:p>
    <w:p w:rsidR="003067C3" w:rsidRPr="003067C3" w:rsidRDefault="003067C3" w:rsidP="003067C3">
      <w:pPr>
        <w:pStyle w:val="Prrafodelista"/>
        <w:tabs>
          <w:tab w:val="left" w:pos="426"/>
        </w:tabs>
        <w:ind w:left="1276"/>
        <w:rPr>
          <w:rFonts w:ascii="Tahoma" w:hAnsi="Tahoma" w:cs="Tahoma"/>
          <w:sz w:val="20"/>
          <w:szCs w:val="20"/>
        </w:rPr>
      </w:pPr>
    </w:p>
    <w:p w:rsidR="003067C3" w:rsidRPr="003067C3" w:rsidRDefault="003067C3" w:rsidP="003067C3">
      <w:pPr>
        <w:pStyle w:val="Prrafodelista"/>
        <w:numPr>
          <w:ilvl w:val="0"/>
          <w:numId w:val="27"/>
        </w:numPr>
        <w:tabs>
          <w:tab w:val="left" w:pos="426"/>
        </w:tabs>
        <w:ind w:left="1276" w:hanging="425"/>
        <w:jc w:val="both"/>
        <w:rPr>
          <w:rFonts w:ascii="Tahoma" w:hAnsi="Tahoma" w:cs="Tahoma"/>
          <w:sz w:val="20"/>
          <w:szCs w:val="20"/>
        </w:rPr>
      </w:pPr>
      <w:r w:rsidRPr="003067C3">
        <w:rPr>
          <w:rFonts w:ascii="Tahoma" w:hAnsi="Tahoma" w:cs="Tahoma"/>
          <w:sz w:val="20"/>
          <w:szCs w:val="20"/>
        </w:rPr>
        <w:t>Nuestra representada no ha generado daño a la Entidad, acreditándose que la Entidad no ha perdido ni un solo día, ya que a las 14:34 pm. del 5 de julio de 2010 (fecha en que vencía el plazo para el consentimiento de la Buena Pro), se colgó en la pagina del SEACE el otorgamiento de la Buena Pro a la Empresa Representaciones e Inversiones P&amp;B S.A.C., resultando evidente que no ha habido retraso en el cumplimiento de sus objetivos.</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numPr>
          <w:ilvl w:val="0"/>
          <w:numId w:val="27"/>
        </w:numPr>
        <w:tabs>
          <w:tab w:val="left" w:pos="426"/>
        </w:tabs>
        <w:ind w:left="1276" w:hanging="425"/>
        <w:jc w:val="both"/>
        <w:rPr>
          <w:rFonts w:ascii="Tahoma" w:hAnsi="Tahoma" w:cs="Tahoma"/>
          <w:sz w:val="20"/>
          <w:szCs w:val="20"/>
        </w:rPr>
      </w:pPr>
      <w:r w:rsidRPr="003067C3">
        <w:rPr>
          <w:rFonts w:ascii="Tahoma" w:hAnsi="Tahoma" w:cs="Tahoma"/>
          <w:sz w:val="20"/>
          <w:szCs w:val="20"/>
        </w:rPr>
        <w:t>Asimismo, en la resolución recurrida se trasgredido los principios que rige la potestad sancionadora, como el principio de razonabilidad y tipicidad, por lo tanto no se configura el hecho tipificado en el literal a) del numeral 1 del artículo 237 del Reglamento.  (sic)</w:t>
      </w:r>
    </w:p>
    <w:p w:rsidR="003067C3" w:rsidRPr="003067C3" w:rsidRDefault="003067C3" w:rsidP="003067C3">
      <w:pPr>
        <w:rPr>
          <w:rFonts w:ascii="Tahoma" w:hAnsi="Tahoma" w:cs="Tahoma"/>
          <w:sz w:val="20"/>
          <w:szCs w:val="20"/>
        </w:rPr>
      </w:pPr>
    </w:p>
    <w:p w:rsidR="003067C3" w:rsidRPr="003067C3" w:rsidRDefault="003067C3" w:rsidP="003067C3">
      <w:pPr>
        <w:pStyle w:val="Prrafodelista"/>
        <w:numPr>
          <w:ilvl w:val="0"/>
          <w:numId w:val="27"/>
        </w:numPr>
        <w:tabs>
          <w:tab w:val="left" w:pos="426"/>
        </w:tabs>
        <w:ind w:left="1276" w:hanging="425"/>
        <w:jc w:val="both"/>
        <w:rPr>
          <w:rFonts w:ascii="Tahoma" w:hAnsi="Tahoma" w:cs="Tahoma"/>
          <w:sz w:val="20"/>
          <w:szCs w:val="20"/>
        </w:rPr>
      </w:pPr>
      <w:r w:rsidRPr="003067C3">
        <w:rPr>
          <w:rFonts w:ascii="Tahoma" w:hAnsi="Tahoma" w:cs="Tahoma"/>
          <w:sz w:val="20"/>
          <w:szCs w:val="20"/>
        </w:rPr>
        <w:t>Ahora bien, de la revisión del correo remitido el 01 de julio de 2010 (documento supuestamente en el que no se mantiene la oferta presentada por mi representada)  no se hace ninguna referencia a la Adjudicación de Menor Cuantía № 21-2010-CEP/MPCH, Segunda Convocatoria, inclusive dicho correo fue remitido al señor Cesar Augusto Yañez Andia, y no a la Entidad. Dicho lo cual, no está debidamente acreditado que el mencionado correo corresponda al proceso de selección de la referencia, por lo que no constituye un medio idóneo en el cual se verifique que supuestamente no se mantiene la oferta presentada en el referido proceso de selección. (sic)</w:t>
      </w:r>
    </w:p>
    <w:p w:rsidR="003067C3" w:rsidRPr="003067C3" w:rsidRDefault="003067C3" w:rsidP="003067C3">
      <w:pPr>
        <w:pStyle w:val="Prrafodelista"/>
        <w:rPr>
          <w:rFonts w:ascii="Tahoma" w:hAnsi="Tahoma" w:cs="Tahoma"/>
          <w:sz w:val="20"/>
          <w:szCs w:val="20"/>
        </w:rPr>
      </w:pPr>
    </w:p>
    <w:p w:rsidR="003067C3" w:rsidRPr="003067C3" w:rsidRDefault="003067C3" w:rsidP="008556BE">
      <w:pPr>
        <w:pStyle w:val="Prrafodelista"/>
        <w:ind w:left="1287"/>
        <w:jc w:val="both"/>
        <w:rPr>
          <w:rFonts w:ascii="Tahoma" w:hAnsi="Tahoma" w:cs="Tahoma"/>
          <w:sz w:val="20"/>
          <w:szCs w:val="20"/>
        </w:rPr>
      </w:pPr>
      <w:r w:rsidRPr="003067C3">
        <w:rPr>
          <w:rFonts w:ascii="Tahoma" w:hAnsi="Tahoma" w:cs="Tahoma"/>
          <w:color w:val="000000"/>
          <w:sz w:val="20"/>
          <w:szCs w:val="20"/>
        </w:rPr>
        <w:t xml:space="preserve">Finalmente, </w:t>
      </w:r>
      <w:r w:rsidRPr="003067C3">
        <w:rPr>
          <w:rFonts w:ascii="Tahoma" w:hAnsi="Tahoma" w:cs="Tahoma"/>
          <w:sz w:val="20"/>
          <w:szCs w:val="20"/>
        </w:rPr>
        <w:t xml:space="preserve">solicitó que se declare fundado su recurso de reconsideración, en todos sus extremos, y por consiguiente se deje sin efecto la sanción impuesta por el Tribunal. </w:t>
      </w:r>
    </w:p>
    <w:p w:rsidR="003067C3" w:rsidRPr="003067C3" w:rsidRDefault="003067C3" w:rsidP="003067C3">
      <w:pPr>
        <w:pStyle w:val="Prrafodelista"/>
        <w:rPr>
          <w:rFonts w:ascii="Tahoma" w:hAnsi="Tahoma" w:cs="Tahoma"/>
          <w:sz w:val="20"/>
          <w:szCs w:val="20"/>
        </w:rPr>
      </w:pPr>
    </w:p>
    <w:p w:rsidR="008556BE" w:rsidRDefault="003067C3" w:rsidP="008556BE">
      <w:pPr>
        <w:pStyle w:val="Textoindependiente"/>
        <w:numPr>
          <w:ilvl w:val="0"/>
          <w:numId w:val="5"/>
        </w:numPr>
        <w:tabs>
          <w:tab w:val="clear" w:pos="720"/>
          <w:tab w:val="num" w:pos="567"/>
        </w:tabs>
        <w:spacing w:after="0"/>
        <w:ind w:left="567" w:hanging="567"/>
        <w:jc w:val="both"/>
        <w:rPr>
          <w:rFonts w:ascii="Tahoma" w:hAnsi="Tahoma" w:cs="Tahoma"/>
          <w:sz w:val="20"/>
          <w:szCs w:val="20"/>
        </w:rPr>
      </w:pPr>
      <w:r w:rsidRPr="003067C3">
        <w:rPr>
          <w:rFonts w:ascii="Tahoma" w:hAnsi="Tahoma" w:cs="Tahoma"/>
          <w:sz w:val="20"/>
          <w:szCs w:val="20"/>
        </w:rPr>
        <w:t xml:space="preserve">En principio, para el análisis del asunto de fondo, debe tenerse en cuenta que el literal d) del numeral 1 del artículo 76 del Reglamento establece que el Postor se compromete a mantener su oferta durante el proceso de selección y a suscribir el contrato en caso de resultar favorecido con la Buena Pro. Por lo tanto, dicha infracción se configura cuando </w:t>
      </w:r>
      <w:r w:rsidRPr="003067C3">
        <w:rPr>
          <w:rFonts w:ascii="Tahoma" w:hAnsi="Tahoma" w:cs="Tahoma"/>
          <w:sz w:val="20"/>
          <w:szCs w:val="20"/>
        </w:rPr>
        <w:lastRenderedPageBreak/>
        <w:t>los postores que han presentado sus propuestas (técnicas y económicas) en el proceso de selección, manifiesten que no van a mantener su oferta hasta el consentimiento de la Buena Pro.</w:t>
      </w:r>
    </w:p>
    <w:p w:rsidR="008556BE" w:rsidRDefault="008556BE" w:rsidP="008556BE">
      <w:pPr>
        <w:pStyle w:val="Textoindependiente"/>
        <w:spacing w:after="0"/>
        <w:ind w:left="567"/>
        <w:jc w:val="both"/>
        <w:rPr>
          <w:rFonts w:ascii="Tahoma" w:hAnsi="Tahoma" w:cs="Tahoma"/>
          <w:sz w:val="20"/>
          <w:szCs w:val="20"/>
        </w:rPr>
      </w:pPr>
    </w:p>
    <w:p w:rsidR="008556BE" w:rsidRDefault="003067C3" w:rsidP="008556BE">
      <w:pPr>
        <w:pStyle w:val="Textoindependiente"/>
        <w:numPr>
          <w:ilvl w:val="0"/>
          <w:numId w:val="5"/>
        </w:numPr>
        <w:tabs>
          <w:tab w:val="clear" w:pos="720"/>
          <w:tab w:val="num" w:pos="567"/>
        </w:tabs>
        <w:spacing w:after="0"/>
        <w:ind w:left="567" w:hanging="567"/>
        <w:jc w:val="both"/>
        <w:rPr>
          <w:rFonts w:ascii="Tahoma" w:hAnsi="Tahoma" w:cs="Tahoma"/>
          <w:sz w:val="20"/>
          <w:szCs w:val="20"/>
        </w:rPr>
      </w:pPr>
      <w:r w:rsidRPr="008556BE">
        <w:rPr>
          <w:rFonts w:ascii="Tahoma" w:hAnsi="Tahoma" w:cs="Tahoma"/>
          <w:sz w:val="20"/>
          <w:szCs w:val="20"/>
        </w:rPr>
        <w:t xml:space="preserve">De esta manera, la sanción impuesta contra el Postor buscó cautelar la diligencia y seriedad con que éste debió actuar dentro del marco de la normativa de la materia, puesto que cada postor asume la responsabilidad de su propia participación en un proceso de selección y está en la obligación de presentar una oferta seria ante la Entidad, de manera que ésta última tenga la seguridad de que, en caso de otorgarle la Buena Pro, podrá cumplir, dentro del plazo previsto y sin mayores inconvenientes ni dilaciones, con los objetivos que se hubiera propuesto al convocar el proceso de selección. </w:t>
      </w:r>
    </w:p>
    <w:p w:rsidR="008556BE" w:rsidRDefault="008556BE" w:rsidP="008556BE">
      <w:pPr>
        <w:pStyle w:val="Prrafodelista"/>
        <w:rPr>
          <w:rFonts w:ascii="Tahoma" w:hAnsi="Tahoma" w:cs="Tahoma"/>
          <w:sz w:val="20"/>
          <w:szCs w:val="20"/>
        </w:rPr>
      </w:pPr>
    </w:p>
    <w:p w:rsidR="008556BE" w:rsidRDefault="003067C3" w:rsidP="008556BE">
      <w:pPr>
        <w:pStyle w:val="Textoindependiente"/>
        <w:numPr>
          <w:ilvl w:val="0"/>
          <w:numId w:val="5"/>
        </w:numPr>
        <w:tabs>
          <w:tab w:val="clear" w:pos="720"/>
          <w:tab w:val="num" w:pos="567"/>
        </w:tabs>
        <w:spacing w:after="0"/>
        <w:ind w:left="567" w:hanging="567"/>
        <w:jc w:val="both"/>
        <w:rPr>
          <w:rFonts w:ascii="Tahoma" w:hAnsi="Tahoma" w:cs="Tahoma"/>
          <w:sz w:val="20"/>
          <w:szCs w:val="20"/>
        </w:rPr>
      </w:pPr>
      <w:r w:rsidRPr="008556BE">
        <w:rPr>
          <w:rFonts w:ascii="Tahoma" w:hAnsi="Tahoma" w:cs="Tahoma"/>
          <w:sz w:val="20"/>
          <w:szCs w:val="20"/>
        </w:rPr>
        <w:t>Hechas tales precisiones, corresponde evaluar los argumentos vertidos en la impugnación venida en grado, siendo que el Postor ha reiterado los argumentos vertidos en su inicial escrito de descargos, con especial alusión al hecho que la Entidad no habría cumplido con los plazos establecidos en la normativa de la materia. En tal medida, resulta conveniente emitir pronunciamiento respecto de cada uno de los cuestionamientos planteados en el recurso que nos ocupa</w:t>
      </w:r>
      <w:r w:rsidRPr="003067C3">
        <w:rPr>
          <w:rStyle w:val="Refdenotaalpie"/>
          <w:rFonts w:ascii="Tahoma" w:hAnsi="Tahoma" w:cs="Tahoma"/>
          <w:sz w:val="20"/>
          <w:szCs w:val="20"/>
        </w:rPr>
        <w:footnoteReference w:id="4"/>
      </w:r>
      <w:r w:rsidRPr="008556BE">
        <w:rPr>
          <w:rFonts w:ascii="Tahoma" w:hAnsi="Tahoma" w:cs="Tahoma"/>
          <w:sz w:val="20"/>
          <w:szCs w:val="20"/>
        </w:rPr>
        <w:t xml:space="preserve"> y verificar si se ha aportado nuevos elementos de juicio que permitan al Tribunal modificar la decisión que adoptó en la resolución recurrida</w:t>
      </w:r>
      <w:r w:rsidRPr="003067C3">
        <w:rPr>
          <w:rStyle w:val="Refdenotaalpie"/>
          <w:rFonts w:ascii="Tahoma" w:hAnsi="Tahoma" w:cs="Tahoma"/>
          <w:sz w:val="20"/>
          <w:szCs w:val="20"/>
        </w:rPr>
        <w:footnoteReference w:id="5"/>
      </w:r>
      <w:r w:rsidRPr="008556BE">
        <w:rPr>
          <w:rFonts w:ascii="Tahoma" w:hAnsi="Tahoma" w:cs="Tahoma"/>
          <w:sz w:val="20"/>
          <w:szCs w:val="20"/>
        </w:rPr>
        <w:t xml:space="preserve">. </w:t>
      </w:r>
    </w:p>
    <w:p w:rsidR="008556BE" w:rsidRDefault="008556BE" w:rsidP="008556BE">
      <w:pPr>
        <w:pStyle w:val="Prrafodelista"/>
        <w:rPr>
          <w:rFonts w:ascii="Tahoma" w:hAnsi="Tahoma" w:cs="Tahoma"/>
          <w:sz w:val="20"/>
          <w:szCs w:val="20"/>
        </w:rPr>
      </w:pPr>
    </w:p>
    <w:p w:rsidR="003067C3" w:rsidRPr="008556BE" w:rsidRDefault="003067C3" w:rsidP="008556BE">
      <w:pPr>
        <w:pStyle w:val="Textoindependiente"/>
        <w:numPr>
          <w:ilvl w:val="0"/>
          <w:numId w:val="5"/>
        </w:numPr>
        <w:tabs>
          <w:tab w:val="clear" w:pos="720"/>
          <w:tab w:val="num" w:pos="567"/>
        </w:tabs>
        <w:spacing w:after="0"/>
        <w:ind w:left="567" w:hanging="567"/>
        <w:jc w:val="both"/>
        <w:rPr>
          <w:rFonts w:ascii="Tahoma" w:hAnsi="Tahoma" w:cs="Tahoma"/>
          <w:sz w:val="20"/>
          <w:szCs w:val="20"/>
        </w:rPr>
      </w:pPr>
      <w:r w:rsidRPr="008556BE">
        <w:rPr>
          <w:rFonts w:ascii="Tahoma" w:hAnsi="Tahoma" w:cs="Tahoma"/>
          <w:sz w:val="20"/>
          <w:szCs w:val="20"/>
        </w:rPr>
        <w:t xml:space="preserve">Sobre la base de lo expuesto, en cuanto a lo alegado por el Postor en los </w:t>
      </w:r>
      <w:r w:rsidRPr="008556BE">
        <w:rPr>
          <w:rFonts w:ascii="Tahoma" w:hAnsi="Tahoma" w:cs="Tahoma"/>
          <w:b/>
          <w:sz w:val="20"/>
          <w:szCs w:val="20"/>
        </w:rPr>
        <w:t xml:space="preserve">literales a) y c) </w:t>
      </w:r>
      <w:r w:rsidRPr="008556BE">
        <w:rPr>
          <w:rFonts w:ascii="Tahoma" w:hAnsi="Tahoma" w:cs="Tahoma"/>
          <w:sz w:val="20"/>
          <w:szCs w:val="20"/>
        </w:rPr>
        <w:t xml:space="preserve">del Numeral 6 de la presente Fundamentación, éste sostiene que, la Entidad violó el debido procedimiento que rige la contratación pública, toda vez que de un lado, no respeto el plazo de consentimiento de la Buena Pro, y por el otro, otorgó la Buena Pro a la Empresa Representaciones e Inversiones P&amp;B S.A.C., sin que exista resolución de anulación de la Buena Pro adjudicada a su favor. Dicho lo cual, y ante tal incumplimiento de la Entidad por no respetar los plazos para el consentimiento de la Buena Pro, el Postor manifestó que el Tribunal debió declarar no ha lugar a la imposición de sanción; por lo que la sanción de catorce (14) meses impuesta en su contra, trasgrede los principios que rige la potestad sancionadora, como el principio de razonabilidad y tipicidad.  </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sz w:val="20"/>
          <w:szCs w:val="20"/>
        </w:rPr>
        <w:t>Sobre el particular, fluye de la documentación obrante en autos que la notificación del otorgamiento de la Buena pro de la Adjudicación de Menor Cuantía № 21-2010-CEP/MPCH fue el 24 de junio de 2010, por lo que la Entidad tenía que esperar los cinco (5) días hábiles posteriores a la notificación del mismo, de conformidad con el artículo 77 del Reglamento</w:t>
      </w:r>
      <w:r w:rsidRPr="003067C3">
        <w:rPr>
          <w:rStyle w:val="Refdenotaalpie"/>
          <w:rFonts w:ascii="Tahoma" w:hAnsi="Tahoma" w:cs="Tahoma"/>
          <w:sz w:val="20"/>
          <w:szCs w:val="20"/>
        </w:rPr>
        <w:footnoteReference w:id="6"/>
      </w:r>
      <w:r w:rsidRPr="003067C3">
        <w:rPr>
          <w:rFonts w:ascii="Tahoma" w:hAnsi="Tahoma" w:cs="Tahoma"/>
          <w:sz w:val="20"/>
          <w:szCs w:val="20"/>
        </w:rPr>
        <w:t>,  para citar al Postor para la suscripción del contrato.</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sz w:val="20"/>
          <w:szCs w:val="20"/>
        </w:rPr>
        <w:lastRenderedPageBreak/>
        <w:t>Sin embargo, el Postor remitió a la Entidad el correo electrónico de fecha 01 de julio de 2010, comunicándole que no podía cumplir con la entrega de los bienes adjudicados dentro del plazo estipulado, toda vez que por un error en su gerencia vendieron una unidad (camioneta) de las que había cotizado en el referido proceso de selección, es decir, antes de que venciese el plazo para consentir el otorgamiento de la Buena Pro, el Postor se dirigió a la Entidad variando los términos de su oferta presentada en el proceso de selección.</w:t>
      </w:r>
    </w:p>
    <w:p w:rsidR="003067C3" w:rsidRPr="003067C3" w:rsidRDefault="003067C3" w:rsidP="003067C3">
      <w:pPr>
        <w:pStyle w:val="Prrafodelista"/>
        <w:rPr>
          <w:rFonts w:ascii="Tahoma" w:hAnsi="Tahoma" w:cs="Tahoma"/>
          <w:sz w:val="20"/>
          <w:szCs w:val="20"/>
        </w:rPr>
      </w:pPr>
    </w:p>
    <w:p w:rsidR="003067C3" w:rsidRPr="003067C3" w:rsidRDefault="003067C3" w:rsidP="003067C3">
      <w:pPr>
        <w:pStyle w:val="Textoindependiente"/>
        <w:numPr>
          <w:ilvl w:val="0"/>
          <w:numId w:val="5"/>
        </w:numPr>
        <w:tabs>
          <w:tab w:val="clear" w:pos="720"/>
          <w:tab w:val="num" w:pos="567"/>
        </w:tabs>
        <w:spacing w:after="0"/>
        <w:ind w:left="567" w:hanging="567"/>
        <w:jc w:val="both"/>
        <w:rPr>
          <w:rFonts w:ascii="Tahoma" w:hAnsi="Tahoma" w:cs="Tahoma"/>
          <w:sz w:val="20"/>
          <w:szCs w:val="20"/>
        </w:rPr>
      </w:pPr>
      <w:r w:rsidRPr="003067C3">
        <w:rPr>
          <w:rFonts w:ascii="Tahoma" w:hAnsi="Tahoma" w:cs="Tahoma"/>
          <w:sz w:val="20"/>
          <w:szCs w:val="20"/>
        </w:rPr>
        <w:t>Con relación a lo anterior, es criterio de este Tribunal que el no mantenimiento de oferta de quienes han obtenido la Buena Pro, exime a la Entidad de su obligación de continuar con el trámite formal de citación para la suscripción del contrato</w:t>
      </w:r>
      <w:r w:rsidRPr="003067C3">
        <w:rPr>
          <w:rStyle w:val="Refdenotaalpie"/>
          <w:rFonts w:ascii="Tahoma" w:hAnsi="Tahoma" w:cs="Tahoma"/>
          <w:sz w:val="20"/>
          <w:szCs w:val="20"/>
        </w:rPr>
        <w:footnoteReference w:id="7"/>
      </w:r>
      <w:r w:rsidRPr="003067C3">
        <w:rPr>
          <w:rFonts w:ascii="Tahoma" w:hAnsi="Tahoma" w:cs="Tahoma"/>
          <w:sz w:val="20"/>
          <w:szCs w:val="20"/>
        </w:rPr>
        <w:t xml:space="preserve">. Ello obedece a la naturaleza de los procesos de selección, en los que la oportunidad de la adquisición es determinante, teniendo en cuenta que a través de ella se busca satisfacer una necesidad real de la administración pública o de los administrados, de modo tal que – conforme al </w:t>
      </w:r>
      <w:r w:rsidRPr="003067C3">
        <w:rPr>
          <w:rFonts w:ascii="Tahoma" w:hAnsi="Tahoma" w:cs="Tahoma"/>
          <w:i/>
          <w:sz w:val="20"/>
          <w:szCs w:val="20"/>
        </w:rPr>
        <w:t>Principio de Economía</w:t>
      </w:r>
      <w:r w:rsidRPr="003067C3">
        <w:rPr>
          <w:rFonts w:ascii="Tahoma" w:hAnsi="Tahoma" w:cs="Tahoma"/>
          <w:sz w:val="20"/>
          <w:szCs w:val="20"/>
        </w:rPr>
        <w:t xml:space="preserve"> que rige estos casos– deben evitarse formalidades innecesarias, no pudiendo exigirse a la Entidad que pese a la conducta del postor que obtuvo la Buena Pro, deba continuar emplazándolo para la suscripción del contrato.</w:t>
      </w:r>
    </w:p>
    <w:p w:rsidR="003067C3" w:rsidRPr="003067C3" w:rsidRDefault="003067C3" w:rsidP="003067C3">
      <w:pPr>
        <w:pStyle w:val="Prrafodelista"/>
        <w:ind w:left="567"/>
        <w:rPr>
          <w:rFonts w:ascii="Tahoma" w:hAnsi="Tahoma" w:cs="Tahoma"/>
          <w:sz w:val="20"/>
          <w:szCs w:val="20"/>
          <w:lang w:val="es-PE"/>
        </w:rPr>
      </w:pPr>
    </w:p>
    <w:p w:rsidR="003067C3" w:rsidRPr="003067C3" w:rsidRDefault="003067C3" w:rsidP="008556BE">
      <w:pPr>
        <w:pStyle w:val="Prrafodelista"/>
        <w:ind w:left="567"/>
        <w:jc w:val="both"/>
        <w:rPr>
          <w:rFonts w:ascii="Tahoma" w:hAnsi="Tahoma" w:cs="Tahoma"/>
          <w:sz w:val="20"/>
          <w:szCs w:val="20"/>
          <w:lang w:val="es-PE"/>
        </w:rPr>
      </w:pPr>
      <w:r w:rsidRPr="003067C3">
        <w:rPr>
          <w:rFonts w:ascii="Tahoma" w:hAnsi="Tahoma" w:cs="Tahoma"/>
          <w:sz w:val="20"/>
          <w:szCs w:val="20"/>
          <w:lang w:val="es-PE"/>
        </w:rPr>
        <w:t xml:space="preserve">Razón por la cual, la Entidad dentro de sus atribuciones y de acuerdo a las sendas resoluciones emitidas por este Tribunal, otorgó la Buena Pro a la Empresa Representaciones e Inversiones P&amp;B S.A.C. el 05 de julio de 2010, sin que sea necesario resolución alguna que deje sin efecto el otorgamiento adjudicado a favor del Postor, toda vez que ante la negativa del Postor a mantener su oferta, y consecuentemente la omisión de suscribir el contrato, el artículo 148 del Reglamento establece que el órgano encargado de las contrataciones llamará al postor que ocupó el segundo lugar en orden de prelación para que suscriba el contrato, esto es, que la Entidad hizo uso de las facultades atribuidas por Ley, y no como pretende señalar el Postor en el curso del presente recurso. </w:t>
      </w:r>
      <w:r w:rsidRPr="003067C3">
        <w:rPr>
          <w:rFonts w:ascii="Tahoma" w:hAnsi="Tahoma" w:cs="Tahoma"/>
          <w:sz w:val="20"/>
          <w:szCs w:val="20"/>
        </w:rPr>
        <w:t>Por lo tanto, no resulta amparable lo vertido por el Postor en este extremo de la reconsideración.</w:t>
      </w:r>
    </w:p>
    <w:p w:rsidR="003067C3" w:rsidRPr="003067C3" w:rsidRDefault="003067C3" w:rsidP="003067C3">
      <w:pPr>
        <w:pStyle w:val="Prrafodelista"/>
        <w:ind w:left="567"/>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color w:val="000000"/>
          <w:sz w:val="20"/>
          <w:szCs w:val="20"/>
        </w:rPr>
        <w:t xml:space="preserve">En cuanto al argumento esbozado por el Postor </w:t>
      </w:r>
      <w:r w:rsidRPr="003067C3">
        <w:rPr>
          <w:rFonts w:ascii="Tahoma" w:hAnsi="Tahoma" w:cs="Tahoma"/>
          <w:sz w:val="20"/>
          <w:szCs w:val="20"/>
        </w:rPr>
        <w:t xml:space="preserve">el </w:t>
      </w:r>
      <w:r w:rsidRPr="003067C3">
        <w:rPr>
          <w:rFonts w:ascii="Tahoma" w:hAnsi="Tahoma" w:cs="Tahoma"/>
          <w:b/>
          <w:sz w:val="20"/>
          <w:szCs w:val="20"/>
        </w:rPr>
        <w:t>literal d)</w:t>
      </w:r>
      <w:r w:rsidRPr="003067C3">
        <w:rPr>
          <w:rFonts w:ascii="Tahoma" w:hAnsi="Tahoma" w:cs="Tahoma"/>
          <w:sz w:val="20"/>
          <w:szCs w:val="20"/>
        </w:rPr>
        <w:t xml:space="preserve"> del numeral 6 de la presente Fundamentación, referido a que de la revisión del correo remitido el 01 de julio de 2010 (documento supuestamente en el que no se mantiene la oferta) no se hace ninguna referencia a la Adjudicación de Menor Cuantía № 21-2010-CEP/MPCH, Segunda Convocatoria; aunado a lo cual, el Postor afirmó que dicho correo fue remitido al señor Cesar Augusto Yañez Andia, y no a la Entidad.</w:t>
      </w:r>
    </w:p>
    <w:p w:rsidR="003067C3" w:rsidRPr="003067C3" w:rsidRDefault="003067C3" w:rsidP="003067C3">
      <w:pPr>
        <w:pStyle w:val="Prrafodelista"/>
        <w:rPr>
          <w:rFonts w:ascii="Tahoma" w:hAnsi="Tahoma" w:cs="Tahoma"/>
          <w:sz w:val="20"/>
          <w:szCs w:val="20"/>
          <w:lang w:val="es-MX"/>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sz w:val="20"/>
          <w:szCs w:val="20"/>
          <w:lang w:val="es-MX"/>
        </w:rPr>
        <w:t xml:space="preserve">Al respecto, las Bases de la </w:t>
      </w:r>
      <w:r w:rsidRPr="003067C3">
        <w:rPr>
          <w:rFonts w:ascii="Tahoma" w:hAnsi="Tahoma" w:cs="Tahoma"/>
          <w:sz w:val="20"/>
          <w:szCs w:val="20"/>
        </w:rPr>
        <w:t>Adjudicación de Menor Cuantía № 21-2010-CEP/MPCH</w:t>
      </w:r>
      <w:r w:rsidRPr="003067C3">
        <w:rPr>
          <w:rFonts w:ascii="Tahoma" w:hAnsi="Tahoma" w:cs="Tahoma"/>
          <w:sz w:val="20"/>
          <w:szCs w:val="20"/>
          <w:lang w:val="es-MX"/>
        </w:rPr>
        <w:t>, tenía como objeto la adquisición de 03 camionetas doble cabina 4x2 diesel para las aéreas de Serenazgo y Vaso de Leche de la Entidad, razón por la cual, el Postor adjuntó a su propuesta técnica la Declaración Jurada de Cumplimiento de los Requerimientos Técnicos Mínimos, en el cual se comprometió a internar tres (03) vehículos doble cabina 4x2 diesel a favor de la Entidad.</w:t>
      </w:r>
    </w:p>
    <w:p w:rsidR="003067C3" w:rsidRPr="003067C3" w:rsidRDefault="003067C3" w:rsidP="003067C3">
      <w:pPr>
        <w:pStyle w:val="Prrafodelista"/>
        <w:rPr>
          <w:rFonts w:ascii="Tahoma" w:hAnsi="Tahoma" w:cs="Tahoma"/>
          <w:sz w:val="20"/>
          <w:szCs w:val="20"/>
          <w:lang w:val="es-MX"/>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sz w:val="20"/>
          <w:szCs w:val="20"/>
          <w:lang w:val="es-MX"/>
        </w:rPr>
        <w:t xml:space="preserve">No obstante lo cual, fluye de los antecedentes administrativos, que a través del correo remitido el 01 de julio de 2010, el Postor manifestó que no podía cumplir con la entrega de los bienes adjudicados, toda vez que no tenía el stock necesario para tal fin. </w:t>
      </w:r>
      <w:r w:rsidRPr="003067C3">
        <w:rPr>
          <w:rFonts w:ascii="Tahoma" w:hAnsi="Tahoma" w:cs="Tahoma"/>
          <w:sz w:val="20"/>
          <w:szCs w:val="20"/>
          <w:lang w:val="es-MX"/>
        </w:rPr>
        <w:lastRenderedPageBreak/>
        <w:t>Posteriormente, el Postor remitió el correo de fecha 02 de julio de 2010, mediante el cual comunicó lo siguiente: “</w:t>
      </w:r>
      <w:r w:rsidRPr="003067C3">
        <w:rPr>
          <w:rFonts w:ascii="Tahoma" w:hAnsi="Tahoma" w:cs="Tahoma"/>
          <w:i/>
          <w:sz w:val="20"/>
          <w:szCs w:val="20"/>
          <w:lang w:val="es-MX"/>
        </w:rPr>
        <w:t>el nuevo stock todavía no tengo fecha exacta para brindársela lo que tengo ahora en stock es una camioneta (…)</w:t>
      </w:r>
      <w:r w:rsidRPr="003067C3">
        <w:rPr>
          <w:rFonts w:ascii="Tahoma" w:hAnsi="Tahoma" w:cs="Tahoma"/>
          <w:sz w:val="20"/>
          <w:szCs w:val="20"/>
          <w:lang w:val="es-MX"/>
        </w:rPr>
        <w:t xml:space="preserve">”. Resulta claro, que el contenido de los citados correos electrónicos </w:t>
      </w:r>
      <w:r w:rsidRPr="003067C3">
        <w:rPr>
          <w:rFonts w:ascii="Tahoma" w:hAnsi="Tahoma" w:cs="Tahoma"/>
          <w:sz w:val="20"/>
          <w:szCs w:val="20"/>
        </w:rPr>
        <w:t>están referidas al objeto del proceso de selección, en los cuales no conservó su oferta técnica ya que como él lo expuso en los mencionados correos electrónicos sólo contaba con un vehículo (camioneta) de los tres que había ofertado, variando los términos consignados en su oferta ganadora del presente proceso de selección.</w:t>
      </w:r>
    </w:p>
    <w:p w:rsidR="003067C3" w:rsidRPr="003067C3" w:rsidRDefault="003067C3" w:rsidP="003067C3">
      <w:pPr>
        <w:pStyle w:val="Prrafodelista"/>
        <w:rPr>
          <w:rFonts w:ascii="Tahoma" w:hAnsi="Tahoma" w:cs="Tahoma"/>
          <w:sz w:val="20"/>
          <w:szCs w:val="20"/>
        </w:rPr>
      </w:pPr>
    </w:p>
    <w:p w:rsidR="003067C3" w:rsidRPr="003067C3" w:rsidRDefault="003067C3" w:rsidP="008556BE">
      <w:pPr>
        <w:pStyle w:val="Prrafodelista"/>
        <w:tabs>
          <w:tab w:val="num" w:pos="567"/>
        </w:tabs>
        <w:ind w:left="567"/>
        <w:jc w:val="both"/>
        <w:rPr>
          <w:rFonts w:ascii="Tahoma" w:hAnsi="Tahoma" w:cs="Tahoma"/>
          <w:sz w:val="20"/>
          <w:szCs w:val="20"/>
        </w:rPr>
      </w:pPr>
      <w:r w:rsidRPr="003067C3">
        <w:rPr>
          <w:rFonts w:ascii="Tahoma" w:hAnsi="Tahoma" w:cs="Tahoma"/>
          <w:sz w:val="20"/>
          <w:szCs w:val="20"/>
        </w:rPr>
        <w:t>De otro lado, es necesario traer a colación el argumento vertido por el Postor, en cuanto los correos electrónicos antes mencionados no fueron remitidos a la Entidad sino al correo personal del señor Cesar Augusto Yañez Andia. Sin embargo, obra en autos, el Informe Técnico Legal № 556-SGA/MPCH de fecha 13 de julio de 2010, del cual se desprende que el mencionado señor es Sub Gerente de Abastecimiento de la Entidad; más aún, corre de los actuados, el Acta de Otorgamiento de la Buena Pro de fecha 23 de junio de 2010</w:t>
      </w:r>
      <w:r w:rsidRPr="003067C3">
        <w:rPr>
          <w:rStyle w:val="Refdenotaalpie"/>
          <w:rFonts w:ascii="Tahoma" w:hAnsi="Tahoma" w:cs="Tahoma"/>
          <w:sz w:val="20"/>
          <w:szCs w:val="20"/>
        </w:rPr>
        <w:footnoteReference w:id="8"/>
      </w:r>
      <w:r w:rsidRPr="003067C3">
        <w:rPr>
          <w:rFonts w:ascii="Tahoma" w:hAnsi="Tahoma" w:cs="Tahoma"/>
          <w:sz w:val="20"/>
          <w:szCs w:val="20"/>
        </w:rPr>
        <w:t>, del cual se observa que el citado señor fue Presidente del Comité Especial, encargado de conducir el proceso de selección hasta el consentimiento de la Buena Pro, a tenor de lo estipulado en el artículo 77 del Reglamento</w:t>
      </w:r>
      <w:r w:rsidRPr="003067C3">
        <w:rPr>
          <w:rStyle w:val="Refdenotaalpie"/>
          <w:rFonts w:ascii="Tahoma" w:hAnsi="Tahoma" w:cs="Tahoma"/>
          <w:sz w:val="20"/>
          <w:szCs w:val="20"/>
        </w:rPr>
        <w:footnoteReference w:id="9"/>
      </w:r>
      <w:r w:rsidRPr="003067C3">
        <w:rPr>
          <w:rFonts w:ascii="Tahoma" w:hAnsi="Tahoma" w:cs="Tahoma"/>
          <w:sz w:val="20"/>
          <w:szCs w:val="20"/>
        </w:rPr>
        <w:t>, lo que resulta válido colegir, que el Postor haya remitido dichos correos con el fin de comunicarle que no podía cumplir con lo ofertado durante el proceso de selección. Por lo tanto, no resulta amparable dicho argumento expuesto por el Postor.</w:t>
      </w:r>
    </w:p>
    <w:p w:rsidR="003067C3" w:rsidRPr="003067C3" w:rsidRDefault="003067C3" w:rsidP="003067C3">
      <w:pPr>
        <w:tabs>
          <w:tab w:val="num" w:pos="567"/>
        </w:tabs>
        <w:ind w:left="567" w:hanging="567"/>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rPr>
      </w:pPr>
      <w:r w:rsidRPr="003067C3">
        <w:rPr>
          <w:rFonts w:ascii="Tahoma" w:hAnsi="Tahoma" w:cs="Tahoma"/>
          <w:sz w:val="20"/>
          <w:szCs w:val="20"/>
        </w:rPr>
        <w:t>De los hechos expuestos, es pertinente pronunciarse respecto al escrito presentado por el Postor el 07 de marzo de 2011, mediante el cual manifestó que los correos electrónicos de fecha 01 y 02 de julio de 2010, estaban destinados a la tratativa de una venta directa de dos camionetas, los cuales podían ser de color rojo o blanco. Tal afirmación –según afirmó el Postor– se corrobora con el correo electrónico de fecha 30 de junio de 2010, enviado por el señor Cesar Augusto Yañez Andia al Postor, en el cual señaló lo siguiente: “</w:t>
      </w:r>
      <w:r w:rsidRPr="003067C3">
        <w:rPr>
          <w:rFonts w:ascii="Tahoma" w:hAnsi="Tahoma" w:cs="Tahoma"/>
          <w:i/>
          <w:sz w:val="20"/>
          <w:szCs w:val="20"/>
        </w:rPr>
        <w:t>Enviar factura con fecha 01 de julio para proceder al pago a la brevedad cualquier factura anterior a esta fecha debe anularse</w:t>
      </w:r>
      <w:r w:rsidRPr="003067C3">
        <w:rPr>
          <w:rFonts w:ascii="Tahoma" w:hAnsi="Tahoma" w:cs="Tahoma"/>
          <w:sz w:val="20"/>
          <w:szCs w:val="20"/>
        </w:rPr>
        <w:t xml:space="preserve">”. En ese sentido, es necesario tener en cuenta </w:t>
      </w:r>
      <w:r w:rsidRPr="003067C3">
        <w:rPr>
          <w:rFonts w:ascii="Tahoma" w:hAnsi="Tahoma" w:cs="Tahoma"/>
          <w:sz w:val="20"/>
          <w:szCs w:val="20"/>
          <w:lang w:val="es-MX"/>
        </w:rPr>
        <w:t xml:space="preserve">que </w:t>
      </w:r>
      <w:r w:rsidRPr="003067C3">
        <w:rPr>
          <w:rFonts w:ascii="Tahoma" w:hAnsi="Tahoma" w:cs="Tahoma"/>
          <w:sz w:val="20"/>
          <w:szCs w:val="20"/>
        </w:rPr>
        <w:t xml:space="preserve">el supuesto de hecho de la norma que contiene la infracción invocada, se configura cuando el Postor no mantiene </w:t>
      </w:r>
      <w:r w:rsidRPr="003067C3">
        <w:rPr>
          <w:rFonts w:ascii="Tahoma" w:hAnsi="Tahoma" w:cs="Tahoma"/>
          <w:color w:val="000000"/>
          <w:sz w:val="20"/>
          <w:szCs w:val="20"/>
        </w:rPr>
        <w:t xml:space="preserve">su oferta en los mismos términos consignados en su propuesta tanto técnica como económica con el fin de suscribir el respectivo contrato, </w:t>
      </w:r>
      <w:r w:rsidRPr="003067C3">
        <w:rPr>
          <w:rFonts w:ascii="Tahoma" w:hAnsi="Tahoma" w:cs="Tahoma"/>
          <w:sz w:val="20"/>
          <w:szCs w:val="20"/>
        </w:rPr>
        <w:t>luego de haber obtenido la Buena Pro. Dicho supuesto acarrea una responsabilidad objetiva, pues basta la constatación del hecho objetivo para que se configure la infracción imputada.</w:t>
      </w:r>
    </w:p>
    <w:p w:rsidR="003067C3" w:rsidRPr="003067C3" w:rsidRDefault="003067C3" w:rsidP="008556BE">
      <w:pPr>
        <w:pStyle w:val="Prrafodelista"/>
        <w:ind w:left="567"/>
        <w:jc w:val="both"/>
        <w:rPr>
          <w:rFonts w:ascii="Tahoma" w:hAnsi="Tahoma" w:cs="Tahoma"/>
          <w:sz w:val="20"/>
          <w:szCs w:val="20"/>
        </w:rPr>
      </w:pPr>
    </w:p>
    <w:p w:rsidR="003067C3" w:rsidRPr="003067C3" w:rsidRDefault="003067C3" w:rsidP="008556BE">
      <w:pPr>
        <w:pStyle w:val="Prrafodelista"/>
        <w:ind w:left="567"/>
        <w:jc w:val="both"/>
        <w:rPr>
          <w:rFonts w:ascii="Tahoma" w:hAnsi="Tahoma" w:cs="Tahoma"/>
          <w:sz w:val="20"/>
          <w:szCs w:val="20"/>
        </w:rPr>
      </w:pPr>
      <w:r w:rsidRPr="003067C3">
        <w:rPr>
          <w:rFonts w:ascii="Tahoma" w:hAnsi="Tahoma" w:cs="Tahoma"/>
          <w:sz w:val="20"/>
          <w:szCs w:val="20"/>
        </w:rPr>
        <w:t xml:space="preserve">Sin embargo, cabe precisar que, con ocasión al requerimiento formulado por este Tribunal el 07 de enero de 2011 a la Entidad, referido a que informase si había respondido los correos electrónicos remitos por el Postor, la Entidad manifestó que de la revisión del expediente de contratación de la Adjudicación de Menor Cuantía № 21-2010-CEP/MPCH, sólo se encontraba los correos electrónicos enviados por el Postor, desistiendo de su oferta presentada en el proceso de selección de la referencia. Dicho lo </w:t>
      </w:r>
      <w:r w:rsidRPr="003067C3">
        <w:rPr>
          <w:rFonts w:ascii="Tahoma" w:hAnsi="Tahoma" w:cs="Tahoma"/>
          <w:sz w:val="20"/>
          <w:szCs w:val="20"/>
        </w:rPr>
        <w:lastRenderedPageBreak/>
        <w:t xml:space="preserve">cual, queda claro, que el contenido del correo remitido por el señor Cesar Augusto Yañez Andia al Postor, nada tiene que ver con el citado proceso de selección, y el cual es materia del presente procedimiento administrativo. Más aún, del citado correo electrónico no se desprende tratativa alguna con referencia al objeto (adquisición de camionetas) del proceso de selección antes mencionado, deslindándose por tanto cualquier atisbo de subjetividad respecto a dicho argumento, hecho que no puede pasar por desapercibido por este Colegiado. </w:t>
      </w:r>
    </w:p>
    <w:p w:rsidR="003067C3" w:rsidRPr="003067C3" w:rsidRDefault="003067C3" w:rsidP="003067C3">
      <w:pPr>
        <w:pStyle w:val="Prrafodelista"/>
        <w:ind w:left="567"/>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hanging="567"/>
        <w:contextualSpacing w:val="0"/>
        <w:jc w:val="both"/>
        <w:rPr>
          <w:rFonts w:ascii="Tahoma" w:hAnsi="Tahoma" w:cs="Tahoma"/>
          <w:sz w:val="20"/>
          <w:szCs w:val="20"/>
          <w:lang w:eastAsia="es-PE"/>
        </w:rPr>
      </w:pPr>
      <w:r w:rsidRPr="003067C3">
        <w:rPr>
          <w:rFonts w:ascii="Tahoma" w:hAnsi="Tahoma" w:cs="Tahoma"/>
          <w:sz w:val="20"/>
          <w:szCs w:val="20"/>
        </w:rPr>
        <w:t xml:space="preserve">Ahora bien, en cuanto a lo alegado por el Postor en el </w:t>
      </w:r>
      <w:r w:rsidRPr="003067C3">
        <w:rPr>
          <w:rFonts w:ascii="Tahoma" w:hAnsi="Tahoma" w:cs="Tahoma"/>
          <w:b/>
          <w:sz w:val="20"/>
          <w:szCs w:val="20"/>
        </w:rPr>
        <w:t>literal b)</w:t>
      </w:r>
      <w:r w:rsidRPr="003067C3">
        <w:rPr>
          <w:rFonts w:ascii="Tahoma" w:hAnsi="Tahoma" w:cs="Tahoma"/>
          <w:sz w:val="20"/>
          <w:szCs w:val="20"/>
        </w:rPr>
        <w:t xml:space="preserve"> del numeral 6 de la presente Fundamentación, con relación de que no se habría ocasionado daño alguno a la Entidad con su conducta, en razón a que ésta última contrató inmediatamente con el postor que ocupó el segundo lugar en el orden de prelación. Debe tenerse en cuenta que, el daño producto de una infracción administrativa surge con la sola realización de la conducta tipificada como sancionable, y que si bien es cierto, puede existir un grado mayor o menor de perjuicio realizado, es innegable el detrimento ocasionado a los fines y objetivos de la Entidad. Sin embargo, se puede advertir que en el fundamento 24 de la resolución impugnada, se tomo en consideración al momento de graduar la sanción a imponerse al Postor, lo siguiente: “</w:t>
      </w:r>
      <w:r w:rsidRPr="003067C3">
        <w:rPr>
          <w:rFonts w:ascii="Tahoma" w:hAnsi="Tahoma" w:cs="Tahoma"/>
          <w:i/>
          <w:sz w:val="20"/>
          <w:szCs w:val="20"/>
        </w:rPr>
        <w:t>que su incumplimiento por parte del Postor generó un daño a la Entidad, causando el retraso en el cumplimiento de sus objetivos, el cual había sido programado y presupuestado con anticipación”.</w:t>
      </w:r>
      <w:r w:rsidRPr="003067C3">
        <w:rPr>
          <w:rFonts w:ascii="Tahoma" w:hAnsi="Tahoma" w:cs="Tahoma"/>
          <w:sz w:val="20"/>
          <w:szCs w:val="20"/>
        </w:rPr>
        <w:t xml:space="preserve"> En ese sentido, resulta amparable dicho argumento expuesto por el Postor, toda vez que </w:t>
      </w:r>
      <w:r w:rsidRPr="003067C3">
        <w:rPr>
          <w:rFonts w:ascii="Tahoma" w:hAnsi="Tahoma" w:cs="Tahoma"/>
          <w:sz w:val="20"/>
          <w:szCs w:val="20"/>
          <w:lang w:val="es-PE"/>
        </w:rPr>
        <w:t xml:space="preserve">el 05 de julio de 2010, la Entidad otorgó la Buena Pro de la </w:t>
      </w:r>
      <w:r w:rsidRPr="003067C3">
        <w:rPr>
          <w:rFonts w:ascii="Tahoma" w:hAnsi="Tahoma" w:cs="Tahoma"/>
          <w:sz w:val="20"/>
          <w:szCs w:val="20"/>
        </w:rPr>
        <w:t xml:space="preserve">Adjudicación de Menor Cuantía № 21-2010-CEP/MPCH a </w:t>
      </w:r>
      <w:r w:rsidRPr="003067C3">
        <w:rPr>
          <w:rFonts w:ascii="Tahoma" w:hAnsi="Tahoma" w:cs="Tahoma"/>
          <w:sz w:val="20"/>
          <w:szCs w:val="20"/>
          <w:lang w:val="es-PE"/>
        </w:rPr>
        <w:t>la Empresa Representaciones e Inversiones P&amp;B S.A.C., es decir, la Entidad cumplió con sus objetivos programados en el calendario de citado proceso de selección</w:t>
      </w:r>
      <w:r w:rsidRPr="003067C3">
        <w:rPr>
          <w:rFonts w:ascii="Tahoma" w:hAnsi="Tahoma" w:cs="Tahoma"/>
          <w:sz w:val="20"/>
          <w:szCs w:val="20"/>
        </w:rPr>
        <w:t>. De este modo, puede colegirse entonces que el fundamento contenido en el mencionado numeral, el cual fue tomado en cuenta por este Tribunal para imponer la sanción de 14 (catorce) meses al Postor ha quedado desvirtuado y, en ese sentido, corresponde entonces reformar la sanción impuesta.</w:t>
      </w:r>
    </w:p>
    <w:p w:rsidR="003067C3" w:rsidRPr="003067C3" w:rsidRDefault="003067C3" w:rsidP="003067C3">
      <w:pPr>
        <w:pStyle w:val="Prrafodelista"/>
        <w:rPr>
          <w:rFonts w:ascii="Tahoma" w:hAnsi="Tahoma" w:cs="Tahoma"/>
          <w:sz w:val="20"/>
          <w:szCs w:val="20"/>
          <w:lang w:eastAsia="es-PE"/>
        </w:rPr>
      </w:pPr>
    </w:p>
    <w:p w:rsidR="003067C3" w:rsidRPr="003067C3" w:rsidRDefault="003067C3" w:rsidP="003067C3">
      <w:pPr>
        <w:numPr>
          <w:ilvl w:val="0"/>
          <w:numId w:val="5"/>
        </w:numPr>
        <w:tabs>
          <w:tab w:val="clear" w:pos="720"/>
          <w:tab w:val="num" w:pos="567"/>
        </w:tabs>
        <w:ind w:left="567" w:hanging="567"/>
        <w:jc w:val="both"/>
        <w:rPr>
          <w:rFonts w:ascii="Tahoma" w:hAnsi="Tahoma" w:cs="Tahoma"/>
          <w:sz w:val="20"/>
          <w:szCs w:val="20"/>
        </w:rPr>
      </w:pPr>
      <w:r w:rsidRPr="003067C3">
        <w:rPr>
          <w:rFonts w:ascii="Tahoma" w:hAnsi="Tahoma" w:cs="Tahoma"/>
          <w:sz w:val="20"/>
          <w:szCs w:val="20"/>
        </w:rPr>
        <w:t>Por lo tanto, a pesar de que existe responsabilidad administrativa por parte del Postor, tal como se indicó en la resolución materia del presente recurso de reconsideración, este Tribunal estima que corresponde reformar la sanción impuesta mediante esta última, en virtud a las circunstancias atenuantes de responsabilidad alegadas por el Postor en la presente impugnación.</w:t>
      </w:r>
    </w:p>
    <w:p w:rsidR="003067C3" w:rsidRPr="003067C3" w:rsidRDefault="003067C3" w:rsidP="003067C3">
      <w:pPr>
        <w:pStyle w:val="Prrafodelista"/>
        <w:ind w:left="567"/>
        <w:rPr>
          <w:rFonts w:ascii="Tahoma" w:hAnsi="Tahoma" w:cs="Tahoma"/>
          <w:sz w:val="20"/>
          <w:szCs w:val="20"/>
        </w:rPr>
      </w:pPr>
    </w:p>
    <w:p w:rsidR="003067C3" w:rsidRPr="003067C3" w:rsidRDefault="003067C3" w:rsidP="003067C3">
      <w:pPr>
        <w:pStyle w:val="Prrafodelista"/>
        <w:numPr>
          <w:ilvl w:val="0"/>
          <w:numId w:val="5"/>
        </w:numPr>
        <w:tabs>
          <w:tab w:val="clear" w:pos="720"/>
          <w:tab w:val="num" w:pos="567"/>
        </w:tabs>
        <w:ind w:left="567" w:right="-2" w:hanging="567"/>
        <w:contextualSpacing w:val="0"/>
        <w:jc w:val="both"/>
        <w:rPr>
          <w:rFonts w:ascii="Tahoma" w:hAnsi="Tahoma" w:cs="Tahoma"/>
          <w:sz w:val="20"/>
          <w:szCs w:val="20"/>
        </w:rPr>
      </w:pPr>
      <w:r w:rsidRPr="003067C3">
        <w:rPr>
          <w:rFonts w:ascii="Tahoma" w:hAnsi="Tahoma" w:cs="Tahoma"/>
          <w:sz w:val="20"/>
          <w:szCs w:val="20"/>
          <w:lang w:val="es-ES_tradnl"/>
        </w:rPr>
        <w:t>En consecuencia</w:t>
      </w:r>
      <w:r w:rsidRPr="003067C3">
        <w:rPr>
          <w:rFonts w:ascii="Tahoma" w:hAnsi="Tahoma" w:cs="Tahoma"/>
          <w:sz w:val="20"/>
          <w:szCs w:val="20"/>
        </w:rPr>
        <w:t>, y atendiendo a la necesidad de que las personas naturales y/o jurídicas no deban verse privadas de su derecho de proveer al Estado más allá de lo estrictamente necesario y razonable para satisfacer los fines de la sanción, este Colegiado, en estricto orden a sus atribuciones, considera que en el caso materia de autos corresponde reducir la sanción impuesta al Contratista a doce (12) meses de inhabilitación para contratar con el Estado.</w:t>
      </w:r>
    </w:p>
    <w:p w:rsidR="00711297" w:rsidRPr="003067C3" w:rsidRDefault="00711297" w:rsidP="00986843">
      <w:pPr>
        <w:pStyle w:val="Prrafodelista"/>
        <w:jc w:val="both"/>
        <w:rPr>
          <w:rFonts w:ascii="Tahoma" w:hAnsi="Tahoma" w:cs="Tahoma"/>
          <w:sz w:val="20"/>
          <w:szCs w:val="20"/>
        </w:rPr>
      </w:pPr>
    </w:p>
    <w:p w:rsidR="00C46DE3" w:rsidRPr="003067C3" w:rsidRDefault="00C46DE3" w:rsidP="00C46DE3">
      <w:pPr>
        <w:ind w:left="567" w:firstLine="567"/>
        <w:jc w:val="both"/>
        <w:rPr>
          <w:rFonts w:ascii="Tahoma" w:hAnsi="Tahoma" w:cs="Tahoma"/>
          <w:sz w:val="20"/>
          <w:szCs w:val="20"/>
        </w:rPr>
      </w:pPr>
      <w:r w:rsidRPr="003067C3">
        <w:rPr>
          <w:rFonts w:ascii="Tahoma" w:hAnsi="Tahoma" w:cs="Tahoma"/>
          <w:color w:val="000000"/>
          <w:sz w:val="20"/>
          <w:szCs w:val="20"/>
        </w:rPr>
        <w:t xml:space="preserve">Por estos fundamentos, de conformidad con el informe del Vocal Ponente </w:t>
      </w:r>
      <w:r w:rsidRPr="003067C3">
        <w:rPr>
          <w:rFonts w:ascii="Tahoma" w:hAnsi="Tahoma" w:cs="Tahoma"/>
          <w:sz w:val="20"/>
          <w:szCs w:val="20"/>
        </w:rPr>
        <w:t>Doctor Carlos Vicente Navas Rondón</w:t>
      </w:r>
      <w:r w:rsidRPr="003067C3">
        <w:rPr>
          <w:rFonts w:ascii="Tahoma" w:hAnsi="Tahoma" w:cs="Tahoma"/>
          <w:color w:val="000000"/>
          <w:sz w:val="20"/>
          <w:szCs w:val="20"/>
        </w:rPr>
        <w:t xml:space="preserve"> y la intervención de las Vocales Dra. Janette Elke Ramírez Maynetto y Dra. Ada Basulto Liewald, y atendiendo a la reconformación de la Primera Sala del Tribunal de Contrataciones del Estado según lo dispuesto en la Resolución № 103-2011-OSCE/PRE de fecha 15 de febrero de 2011, y en ejercicio de las facultades conferidas en los artículos 53, 59 y 61 aprobado por Decreto Legislativo 1017, Ley de Contrataciones del Estado, su Reglamento, aprobado por Decreto Supremo № 184-2008-</w:t>
      </w:r>
      <w:r w:rsidRPr="003067C3">
        <w:rPr>
          <w:rFonts w:ascii="Tahoma" w:hAnsi="Tahoma" w:cs="Tahoma"/>
          <w:color w:val="000000"/>
          <w:sz w:val="20"/>
          <w:szCs w:val="20"/>
        </w:rPr>
        <w:lastRenderedPageBreak/>
        <w:t>EF, y los artículos 17 y 18 del Reglamento de Organización y Funciones del OSCE, aprobado por Decreto Supremo № 006-2009-EF; analizados los antecedentes y luego de agotado el debate correspondiente, por unanimidad;</w:t>
      </w:r>
    </w:p>
    <w:p w:rsidR="00711297" w:rsidRPr="003067C3" w:rsidRDefault="00711297" w:rsidP="00986843">
      <w:pPr>
        <w:pStyle w:val="Sinespaciado"/>
        <w:jc w:val="both"/>
        <w:rPr>
          <w:rFonts w:ascii="Tahoma" w:hAnsi="Tahoma" w:cs="Tahoma"/>
          <w:sz w:val="20"/>
          <w:szCs w:val="20"/>
        </w:rPr>
      </w:pPr>
    </w:p>
    <w:p w:rsidR="00711297" w:rsidRPr="003067C3" w:rsidRDefault="00711297" w:rsidP="00986843">
      <w:pPr>
        <w:tabs>
          <w:tab w:val="num" w:pos="360"/>
          <w:tab w:val="left" w:pos="8280"/>
        </w:tabs>
        <w:jc w:val="both"/>
        <w:rPr>
          <w:rFonts w:ascii="Tahoma" w:hAnsi="Tahoma" w:cs="Tahoma"/>
          <w:b/>
          <w:sz w:val="20"/>
          <w:szCs w:val="20"/>
        </w:rPr>
      </w:pPr>
      <w:r w:rsidRPr="003067C3">
        <w:rPr>
          <w:rFonts w:ascii="Tahoma" w:hAnsi="Tahoma" w:cs="Tahoma"/>
          <w:b/>
          <w:sz w:val="20"/>
          <w:szCs w:val="20"/>
        </w:rPr>
        <w:t>LA SALA RESUELVE:</w:t>
      </w:r>
    </w:p>
    <w:p w:rsidR="00711297" w:rsidRPr="003067C3" w:rsidRDefault="00711297" w:rsidP="00986843">
      <w:pPr>
        <w:tabs>
          <w:tab w:val="num" w:pos="360"/>
          <w:tab w:val="left" w:pos="8280"/>
        </w:tabs>
        <w:jc w:val="both"/>
        <w:rPr>
          <w:rFonts w:ascii="Tahoma" w:hAnsi="Tahoma" w:cs="Tahoma"/>
          <w:b/>
          <w:sz w:val="20"/>
          <w:szCs w:val="20"/>
        </w:rPr>
      </w:pPr>
    </w:p>
    <w:p w:rsidR="003067C3" w:rsidRPr="003067C3" w:rsidRDefault="003067C3" w:rsidP="003067C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3067C3">
        <w:rPr>
          <w:rFonts w:ascii="Tahoma" w:hAnsi="Tahoma" w:cs="Tahoma"/>
          <w:sz w:val="20"/>
          <w:szCs w:val="20"/>
        </w:rPr>
        <w:t>Declarar fundado en parte el recurso de reconsideración interpuesto por la empresa FAGA MOTORS S.A. dejándose sin efecto la Resolución № 213-2011-TC-S3 de fecha 09 de febrero de 2011 en el extremo que sanciona a la referida empresa por el periodo de catorce (14) meses de inhabilitación temporal en su derecho de participar en procesos de selección y contratar con el Estado, reformando el periodo de sanción a doce (12) meses.</w:t>
      </w:r>
    </w:p>
    <w:p w:rsidR="003067C3" w:rsidRPr="003067C3" w:rsidRDefault="003067C3" w:rsidP="003067C3">
      <w:pPr>
        <w:pStyle w:val="Prrafodelista"/>
        <w:widowControl w:val="0"/>
        <w:tabs>
          <w:tab w:val="left" w:pos="567"/>
        </w:tabs>
        <w:suppressAutoHyphens/>
        <w:ind w:left="567"/>
        <w:rPr>
          <w:rFonts w:ascii="Tahoma" w:hAnsi="Tahoma" w:cs="Tahoma"/>
          <w:sz w:val="20"/>
          <w:szCs w:val="20"/>
        </w:rPr>
      </w:pPr>
    </w:p>
    <w:p w:rsidR="003067C3" w:rsidRPr="003067C3" w:rsidRDefault="003067C3" w:rsidP="003067C3">
      <w:pPr>
        <w:pStyle w:val="Prrafodelista"/>
        <w:widowControl w:val="0"/>
        <w:numPr>
          <w:ilvl w:val="0"/>
          <w:numId w:val="3"/>
        </w:numPr>
        <w:tabs>
          <w:tab w:val="left" w:pos="567"/>
        </w:tabs>
        <w:suppressAutoHyphens/>
        <w:ind w:left="567" w:hanging="567"/>
        <w:jc w:val="both"/>
        <w:rPr>
          <w:rFonts w:ascii="Tahoma" w:hAnsi="Tahoma" w:cs="Tahoma"/>
          <w:sz w:val="20"/>
          <w:szCs w:val="20"/>
        </w:rPr>
      </w:pPr>
      <w:r w:rsidRPr="003067C3">
        <w:rPr>
          <w:rFonts w:ascii="Tahoma" w:hAnsi="Tahoma" w:cs="Tahoma"/>
          <w:sz w:val="20"/>
          <w:szCs w:val="20"/>
        </w:rPr>
        <w:t xml:space="preserve">Poner la presente Resolución en conocimiento de la Subdirección del Registro Nacional de Proveedores del Organismo Superior de Contrataciones del Estado (OSCE), para las anotaciones de ley. </w:t>
      </w:r>
    </w:p>
    <w:p w:rsidR="003067C3" w:rsidRPr="003067C3" w:rsidRDefault="003067C3" w:rsidP="003067C3">
      <w:pPr>
        <w:pStyle w:val="Prrafodelista"/>
        <w:ind w:left="1134"/>
        <w:rPr>
          <w:rFonts w:ascii="Tahoma" w:hAnsi="Tahoma" w:cs="Tahoma"/>
          <w:bCs/>
          <w:sz w:val="20"/>
          <w:szCs w:val="20"/>
        </w:rPr>
      </w:pPr>
    </w:p>
    <w:p w:rsidR="003067C3" w:rsidRPr="003067C3" w:rsidRDefault="003067C3" w:rsidP="003067C3">
      <w:pPr>
        <w:numPr>
          <w:ilvl w:val="0"/>
          <w:numId w:val="3"/>
        </w:numPr>
        <w:ind w:left="540" w:hanging="540"/>
        <w:jc w:val="both"/>
        <w:rPr>
          <w:rFonts w:ascii="Tahoma" w:hAnsi="Tahoma" w:cs="Tahoma"/>
          <w:sz w:val="20"/>
          <w:szCs w:val="20"/>
        </w:rPr>
      </w:pPr>
      <w:r w:rsidRPr="003067C3">
        <w:rPr>
          <w:rFonts w:ascii="Tahoma" w:hAnsi="Tahoma" w:cs="Tahoma"/>
          <w:bCs/>
          <w:sz w:val="20"/>
          <w:szCs w:val="20"/>
        </w:rPr>
        <w:t xml:space="preserve">Devolver la garantía presentada por la empresa </w:t>
      </w:r>
      <w:r w:rsidRPr="003067C3">
        <w:rPr>
          <w:rFonts w:ascii="Tahoma" w:hAnsi="Tahoma" w:cs="Tahoma"/>
          <w:sz w:val="20"/>
          <w:szCs w:val="20"/>
        </w:rPr>
        <w:t>FAGA MOTORS S.A.</w:t>
      </w:r>
      <w:r w:rsidRPr="003067C3">
        <w:rPr>
          <w:rFonts w:ascii="Tahoma" w:hAnsi="Tahoma" w:cs="Tahoma"/>
          <w:sz w:val="20"/>
          <w:szCs w:val="20"/>
          <w:lang w:val="es-PE"/>
        </w:rPr>
        <w:t xml:space="preserve"> </w:t>
      </w:r>
      <w:r w:rsidRPr="003067C3">
        <w:rPr>
          <w:rFonts w:ascii="Tahoma" w:hAnsi="Tahoma" w:cs="Tahoma"/>
          <w:bCs/>
          <w:sz w:val="20"/>
          <w:szCs w:val="20"/>
        </w:rPr>
        <w:t>por la interposición del recurso del recurso de reconsideración contra la Resolución № 213-2010-TC-S3.</w:t>
      </w:r>
    </w:p>
    <w:p w:rsidR="003067C3" w:rsidRPr="003067C3" w:rsidRDefault="003067C3" w:rsidP="003067C3">
      <w:pPr>
        <w:pStyle w:val="Prrafodelista"/>
        <w:rPr>
          <w:rFonts w:ascii="Tahoma" w:hAnsi="Tahoma" w:cs="Tahoma"/>
          <w:sz w:val="20"/>
          <w:szCs w:val="20"/>
        </w:rPr>
      </w:pPr>
    </w:p>
    <w:p w:rsidR="003067C3" w:rsidRPr="003067C3" w:rsidRDefault="003067C3" w:rsidP="003067C3">
      <w:pPr>
        <w:numPr>
          <w:ilvl w:val="0"/>
          <w:numId w:val="3"/>
        </w:numPr>
        <w:ind w:left="540" w:hanging="540"/>
        <w:jc w:val="both"/>
        <w:rPr>
          <w:rFonts w:ascii="Tahoma" w:hAnsi="Tahoma" w:cs="Tahoma"/>
          <w:sz w:val="20"/>
          <w:szCs w:val="20"/>
        </w:rPr>
      </w:pPr>
      <w:r w:rsidRPr="003067C3">
        <w:rPr>
          <w:rFonts w:ascii="Tahoma" w:hAnsi="Tahoma" w:cs="Tahoma"/>
          <w:sz w:val="20"/>
          <w:szCs w:val="20"/>
        </w:rPr>
        <w:t>Dar por agotada la vía administrativa.</w:t>
      </w:r>
    </w:p>
    <w:p w:rsidR="00877F0D" w:rsidRPr="003067C3" w:rsidRDefault="00877F0D" w:rsidP="00986843">
      <w:pPr>
        <w:ind w:left="540"/>
        <w:jc w:val="both"/>
        <w:rPr>
          <w:rFonts w:ascii="Tahoma" w:hAnsi="Tahoma" w:cs="Tahoma"/>
          <w:sz w:val="20"/>
          <w:szCs w:val="20"/>
        </w:rPr>
      </w:pPr>
    </w:p>
    <w:p w:rsidR="00711297" w:rsidRPr="003067C3" w:rsidRDefault="00711297" w:rsidP="00986843">
      <w:pPr>
        <w:tabs>
          <w:tab w:val="num" w:pos="540"/>
        </w:tabs>
        <w:jc w:val="both"/>
        <w:rPr>
          <w:rFonts w:ascii="Tahoma" w:hAnsi="Tahoma" w:cs="Tahoma"/>
          <w:sz w:val="20"/>
          <w:szCs w:val="20"/>
        </w:rPr>
      </w:pPr>
      <w:r w:rsidRPr="003067C3">
        <w:rPr>
          <w:rFonts w:ascii="Tahoma" w:hAnsi="Tahoma" w:cs="Tahoma"/>
          <w:sz w:val="20"/>
          <w:szCs w:val="20"/>
        </w:rPr>
        <w:t>Regístrese, comuníquese y publíquese.</w:t>
      </w:r>
    </w:p>
    <w:p w:rsidR="00711297" w:rsidRPr="003067C3" w:rsidRDefault="00711297" w:rsidP="00986843">
      <w:pPr>
        <w:tabs>
          <w:tab w:val="num" w:pos="540"/>
        </w:tabs>
        <w:jc w:val="both"/>
        <w:rPr>
          <w:rFonts w:ascii="Tahoma" w:hAnsi="Tahoma" w:cs="Tahoma"/>
          <w:sz w:val="20"/>
          <w:szCs w:val="20"/>
        </w:rPr>
      </w:pPr>
    </w:p>
    <w:p w:rsidR="00711297" w:rsidRPr="003067C3" w:rsidRDefault="00711297" w:rsidP="00986843">
      <w:pPr>
        <w:jc w:val="both"/>
        <w:rPr>
          <w:rFonts w:ascii="Tahoma" w:hAnsi="Tahoma" w:cs="Tahoma"/>
          <w:b/>
          <w:shadow/>
          <w:sz w:val="20"/>
          <w:szCs w:val="20"/>
          <w:lang w:val="pt-BR"/>
        </w:rPr>
      </w:pPr>
    </w:p>
    <w:p w:rsidR="00711297" w:rsidRPr="003067C3" w:rsidRDefault="00711297" w:rsidP="00986843">
      <w:pPr>
        <w:jc w:val="both"/>
        <w:rPr>
          <w:rFonts w:ascii="Tahoma" w:hAnsi="Tahoma" w:cs="Tahoma"/>
          <w:b/>
          <w:shadow/>
          <w:sz w:val="20"/>
          <w:szCs w:val="20"/>
          <w:lang w:val="pt-BR"/>
        </w:rPr>
      </w:pPr>
    </w:p>
    <w:p w:rsidR="00101193" w:rsidRPr="003067C3" w:rsidRDefault="00101193" w:rsidP="00986843">
      <w:pPr>
        <w:jc w:val="both"/>
        <w:rPr>
          <w:rFonts w:ascii="Tahoma" w:hAnsi="Tahoma" w:cs="Tahoma"/>
          <w:b/>
          <w:shadow/>
          <w:sz w:val="20"/>
          <w:szCs w:val="20"/>
          <w:lang w:val="pt-BR"/>
        </w:rPr>
      </w:pPr>
    </w:p>
    <w:p w:rsidR="0077221D" w:rsidRPr="003067C3" w:rsidRDefault="0077221D" w:rsidP="00986843">
      <w:pPr>
        <w:jc w:val="both"/>
        <w:rPr>
          <w:rFonts w:ascii="Tahoma" w:hAnsi="Tahoma" w:cs="Tahoma"/>
          <w:b/>
          <w:shadow/>
          <w:sz w:val="20"/>
          <w:szCs w:val="20"/>
          <w:lang w:val="pt-BR"/>
        </w:rPr>
      </w:pPr>
    </w:p>
    <w:p w:rsidR="0077221D" w:rsidRPr="003067C3" w:rsidRDefault="0077221D" w:rsidP="00986843">
      <w:pPr>
        <w:jc w:val="both"/>
        <w:rPr>
          <w:rFonts w:ascii="Tahoma" w:hAnsi="Tahoma" w:cs="Tahoma"/>
          <w:b/>
          <w:shadow/>
          <w:sz w:val="20"/>
          <w:szCs w:val="20"/>
          <w:lang w:val="pt-BR"/>
        </w:rPr>
      </w:pPr>
    </w:p>
    <w:p w:rsidR="00101193" w:rsidRPr="003067C3" w:rsidRDefault="00101193" w:rsidP="00986843">
      <w:pPr>
        <w:jc w:val="both"/>
        <w:rPr>
          <w:rFonts w:ascii="Tahoma" w:hAnsi="Tahoma" w:cs="Tahoma"/>
          <w:b/>
          <w:shadow/>
          <w:sz w:val="20"/>
          <w:szCs w:val="20"/>
          <w:lang w:val="pt-BR"/>
        </w:rPr>
      </w:pPr>
    </w:p>
    <w:p w:rsidR="00101193" w:rsidRPr="003067C3" w:rsidRDefault="00101193" w:rsidP="00986843">
      <w:pPr>
        <w:jc w:val="both"/>
        <w:rPr>
          <w:rFonts w:ascii="Tahoma" w:hAnsi="Tahoma" w:cs="Tahoma"/>
          <w:b/>
          <w:shadow/>
          <w:sz w:val="20"/>
          <w:szCs w:val="20"/>
          <w:lang w:val="pt-BR"/>
        </w:rPr>
      </w:pPr>
    </w:p>
    <w:p w:rsidR="00711297" w:rsidRPr="003067C3" w:rsidRDefault="00711297" w:rsidP="00986843">
      <w:pPr>
        <w:jc w:val="both"/>
        <w:rPr>
          <w:rFonts w:ascii="Tahoma" w:hAnsi="Tahoma" w:cs="Tahoma"/>
          <w:b/>
          <w:shadow/>
          <w:sz w:val="20"/>
          <w:szCs w:val="20"/>
          <w:lang w:val="pt-BR"/>
        </w:rPr>
      </w:pPr>
    </w:p>
    <w:p w:rsidR="00711297" w:rsidRPr="003067C3" w:rsidRDefault="00711297" w:rsidP="00491A1B">
      <w:pPr>
        <w:pStyle w:val="Prrafodelista"/>
        <w:jc w:val="center"/>
        <w:rPr>
          <w:rFonts w:ascii="Tahoma" w:hAnsi="Tahoma" w:cs="Tahoma"/>
          <w:b/>
          <w:shadow/>
          <w:sz w:val="20"/>
          <w:szCs w:val="20"/>
          <w:lang w:val="pt-BR"/>
        </w:rPr>
      </w:pPr>
      <w:r w:rsidRPr="003067C3">
        <w:rPr>
          <w:rFonts w:ascii="Tahoma" w:hAnsi="Tahoma" w:cs="Tahoma"/>
          <w:b/>
          <w:shadow/>
          <w:sz w:val="20"/>
          <w:szCs w:val="20"/>
          <w:lang w:val="pt-BR"/>
        </w:rPr>
        <w:t>PRESIDENTE</w:t>
      </w:r>
    </w:p>
    <w:p w:rsidR="00711297" w:rsidRPr="003067C3" w:rsidRDefault="00711297" w:rsidP="00491A1B">
      <w:pPr>
        <w:pStyle w:val="Prrafodelista"/>
        <w:jc w:val="center"/>
        <w:rPr>
          <w:rFonts w:ascii="Tahoma" w:hAnsi="Tahoma" w:cs="Tahoma"/>
          <w:b/>
          <w:shadow/>
          <w:sz w:val="20"/>
          <w:szCs w:val="20"/>
          <w:lang w:val="pt-BR"/>
        </w:rPr>
      </w:pPr>
    </w:p>
    <w:p w:rsidR="00711297" w:rsidRPr="003067C3" w:rsidRDefault="00711297" w:rsidP="00491A1B">
      <w:pPr>
        <w:pStyle w:val="Prrafodelista"/>
        <w:jc w:val="center"/>
        <w:rPr>
          <w:rFonts w:ascii="Tahoma" w:hAnsi="Tahoma" w:cs="Tahoma"/>
          <w:b/>
          <w:shadow/>
          <w:sz w:val="20"/>
          <w:szCs w:val="20"/>
          <w:lang w:val="pt-BR"/>
        </w:rPr>
      </w:pPr>
    </w:p>
    <w:p w:rsidR="00711297" w:rsidRPr="003067C3" w:rsidRDefault="00711297" w:rsidP="00491A1B">
      <w:pPr>
        <w:ind w:left="360"/>
        <w:jc w:val="center"/>
        <w:rPr>
          <w:rFonts w:ascii="Tahoma" w:hAnsi="Tahoma" w:cs="Tahoma"/>
          <w:b/>
          <w:shadow/>
          <w:sz w:val="20"/>
          <w:szCs w:val="20"/>
          <w:lang w:val="pt-BR"/>
        </w:rPr>
      </w:pPr>
    </w:p>
    <w:p w:rsidR="00711297" w:rsidRPr="003067C3" w:rsidRDefault="00711297" w:rsidP="00491A1B">
      <w:pPr>
        <w:jc w:val="center"/>
        <w:rPr>
          <w:rFonts w:ascii="Tahoma" w:hAnsi="Tahoma" w:cs="Tahoma"/>
          <w:b/>
          <w:shadow/>
          <w:sz w:val="20"/>
          <w:szCs w:val="20"/>
          <w:lang w:val="pt-BR"/>
        </w:rPr>
      </w:pPr>
    </w:p>
    <w:p w:rsidR="00711297" w:rsidRPr="003067C3" w:rsidRDefault="00711297" w:rsidP="00491A1B">
      <w:pPr>
        <w:ind w:left="708" w:hanging="708"/>
        <w:jc w:val="center"/>
        <w:rPr>
          <w:rFonts w:ascii="Tahoma" w:hAnsi="Tahoma" w:cs="Tahoma"/>
          <w:b/>
          <w:shadow/>
          <w:sz w:val="20"/>
          <w:szCs w:val="20"/>
          <w:lang w:val="pt-BR"/>
        </w:rPr>
      </w:pPr>
      <w:r w:rsidRPr="003067C3">
        <w:rPr>
          <w:rFonts w:ascii="Tahoma" w:hAnsi="Tahoma" w:cs="Tahoma"/>
          <w:b/>
          <w:shadow/>
          <w:sz w:val="20"/>
          <w:szCs w:val="20"/>
          <w:lang w:val="pt-BR"/>
        </w:rPr>
        <w:t>VOCAL                                                                                                 VOCAL</w:t>
      </w:r>
    </w:p>
    <w:p w:rsidR="00711297" w:rsidRPr="003067C3" w:rsidRDefault="00711297" w:rsidP="00986843">
      <w:pPr>
        <w:ind w:left="360"/>
        <w:jc w:val="both"/>
        <w:rPr>
          <w:rFonts w:ascii="Tahoma" w:hAnsi="Tahoma" w:cs="Tahoma"/>
          <w:shadow/>
          <w:sz w:val="20"/>
          <w:szCs w:val="20"/>
          <w:lang w:val="pt-BR"/>
        </w:rPr>
      </w:pPr>
    </w:p>
    <w:p w:rsidR="00162FCA" w:rsidRPr="003067C3" w:rsidRDefault="00162FCA" w:rsidP="00986843">
      <w:pPr>
        <w:ind w:left="360"/>
        <w:jc w:val="both"/>
        <w:rPr>
          <w:rFonts w:ascii="Tahoma" w:hAnsi="Tahoma" w:cs="Tahoma"/>
          <w:shadow/>
          <w:sz w:val="20"/>
          <w:szCs w:val="20"/>
          <w:lang w:val="pt-BR"/>
        </w:rPr>
      </w:pPr>
    </w:p>
    <w:p w:rsidR="00162FCA" w:rsidRPr="003067C3" w:rsidRDefault="00162FCA" w:rsidP="00986843">
      <w:pPr>
        <w:ind w:left="360"/>
        <w:jc w:val="both"/>
        <w:rPr>
          <w:rFonts w:ascii="Tahoma" w:hAnsi="Tahoma" w:cs="Tahoma"/>
          <w:shadow/>
          <w:sz w:val="20"/>
          <w:szCs w:val="20"/>
          <w:lang w:val="pt-BR"/>
        </w:rPr>
      </w:pPr>
    </w:p>
    <w:p w:rsidR="00C46DE3" w:rsidRPr="003067C3" w:rsidRDefault="00C46DE3" w:rsidP="00C46DE3">
      <w:pPr>
        <w:pStyle w:val="Textoindependiente21"/>
        <w:rPr>
          <w:rFonts w:cs="Tahoma"/>
          <w:sz w:val="20"/>
          <w:lang w:val="pt-BR"/>
        </w:rPr>
      </w:pPr>
    </w:p>
    <w:p w:rsidR="00C46DE3" w:rsidRPr="003067C3" w:rsidRDefault="00C46DE3" w:rsidP="00C46DE3">
      <w:pPr>
        <w:pStyle w:val="Textoindependiente21"/>
        <w:rPr>
          <w:rFonts w:cs="Tahoma"/>
          <w:sz w:val="20"/>
          <w:lang w:val="pt-BR"/>
        </w:rPr>
      </w:pPr>
      <w:r w:rsidRPr="003067C3">
        <w:rPr>
          <w:rFonts w:cs="Tahoma"/>
          <w:sz w:val="20"/>
          <w:lang w:val="pt-BR"/>
        </w:rPr>
        <w:t>ss.</w:t>
      </w:r>
    </w:p>
    <w:p w:rsidR="00C46DE3" w:rsidRPr="003067C3" w:rsidRDefault="00C46DE3" w:rsidP="00C46DE3">
      <w:pPr>
        <w:pStyle w:val="Textoindependiente21"/>
        <w:rPr>
          <w:rFonts w:cs="Tahoma"/>
          <w:sz w:val="20"/>
          <w:lang w:val="pt-BR"/>
        </w:rPr>
      </w:pPr>
      <w:r w:rsidRPr="003067C3">
        <w:rPr>
          <w:rFonts w:cs="Tahoma"/>
          <w:sz w:val="20"/>
          <w:lang w:val="pt-BR"/>
        </w:rPr>
        <w:t>Navas Rondón</w:t>
      </w:r>
    </w:p>
    <w:p w:rsidR="00C46DE3" w:rsidRPr="003067C3" w:rsidRDefault="00C46DE3" w:rsidP="00C46DE3">
      <w:pPr>
        <w:pStyle w:val="Textoindependiente21"/>
        <w:rPr>
          <w:rFonts w:cs="Tahoma"/>
          <w:sz w:val="20"/>
          <w:lang w:val="pt-BR"/>
        </w:rPr>
      </w:pPr>
      <w:r w:rsidRPr="003067C3">
        <w:rPr>
          <w:rFonts w:cs="Tahoma"/>
          <w:sz w:val="20"/>
          <w:lang w:val="pt-BR"/>
        </w:rPr>
        <w:t xml:space="preserve">Ramírez Maynetto </w:t>
      </w:r>
    </w:p>
    <w:p w:rsidR="002C6D86" w:rsidRPr="003067C3" w:rsidRDefault="00C46DE3" w:rsidP="00C46DE3">
      <w:pPr>
        <w:pStyle w:val="Textoindependiente21"/>
        <w:rPr>
          <w:rFonts w:cs="Tahoma"/>
          <w:sz w:val="20"/>
        </w:rPr>
      </w:pPr>
      <w:r w:rsidRPr="003067C3">
        <w:rPr>
          <w:rFonts w:cs="Tahoma"/>
          <w:sz w:val="20"/>
          <w:lang w:val="pt-BR"/>
        </w:rPr>
        <w:t>Basulto Liewald</w:t>
      </w:r>
    </w:p>
    <w:sectPr w:rsidR="002C6D86" w:rsidRPr="003067C3" w:rsidSect="00904E87">
      <w:headerReference w:type="default" r:id="rId7"/>
      <w:footerReference w:type="default" r:id="rId8"/>
      <w:pgSz w:w="11906" w:h="16838"/>
      <w:pgMar w:top="3403" w:right="1701" w:bottom="1560"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6413" w:rsidRDefault="00D36413" w:rsidP="00711297">
      <w:r>
        <w:separator/>
      </w:r>
    </w:p>
  </w:endnote>
  <w:endnote w:type="continuationSeparator" w:id="1">
    <w:p w:rsidR="00D36413" w:rsidRDefault="00D36413" w:rsidP="007112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9313"/>
      <w:docPartObj>
        <w:docPartGallery w:val="Page Numbers (Bottom of Page)"/>
        <w:docPartUnique/>
      </w:docPartObj>
    </w:sdtPr>
    <w:sdtContent>
      <w:p w:rsidR="00491A1B" w:rsidRDefault="0025293D">
        <w:pPr>
          <w:pStyle w:val="Piedepgina"/>
          <w:jc w:val="center"/>
        </w:pPr>
        <w:fldSimple w:instr=" PAGE   \* MERGEFORMAT ">
          <w:r w:rsidR="00685D04">
            <w:rPr>
              <w:noProof/>
            </w:rPr>
            <w:t>1</w:t>
          </w:r>
        </w:fldSimple>
      </w:p>
    </w:sdtContent>
  </w:sdt>
  <w:p w:rsidR="00904E87" w:rsidRDefault="00D3641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6413" w:rsidRDefault="00D36413" w:rsidP="00711297">
      <w:r>
        <w:separator/>
      </w:r>
    </w:p>
  </w:footnote>
  <w:footnote w:type="continuationSeparator" w:id="1">
    <w:p w:rsidR="00D36413" w:rsidRDefault="00D36413" w:rsidP="00711297">
      <w:r>
        <w:continuationSeparator/>
      </w:r>
    </w:p>
  </w:footnote>
  <w:footnote w:id="2">
    <w:p w:rsidR="003067C3" w:rsidRPr="004A0F8D" w:rsidRDefault="003067C3" w:rsidP="003067C3">
      <w:pPr>
        <w:pStyle w:val="Textonotapie"/>
        <w:rPr>
          <w:rFonts w:cs="Tahoma"/>
          <w:sz w:val="16"/>
          <w:szCs w:val="16"/>
          <w:lang w:val="es-PE"/>
        </w:rPr>
      </w:pPr>
      <w:r w:rsidRPr="00370D26">
        <w:rPr>
          <w:rStyle w:val="Refdenotaalpie"/>
          <w:rFonts w:cs="Tahoma"/>
          <w:sz w:val="16"/>
          <w:szCs w:val="16"/>
        </w:rPr>
        <w:footnoteRef/>
      </w:r>
      <w:r w:rsidRPr="00370D26">
        <w:rPr>
          <w:rFonts w:cs="Tahoma"/>
          <w:b/>
          <w:sz w:val="16"/>
          <w:szCs w:val="16"/>
        </w:rPr>
        <w:t xml:space="preserve"> </w:t>
      </w:r>
      <w:r w:rsidRPr="004A0F8D">
        <w:rPr>
          <w:rFonts w:cs="Tahoma"/>
          <w:b/>
          <w:sz w:val="16"/>
          <w:szCs w:val="16"/>
          <w:lang w:val="es-PE"/>
        </w:rPr>
        <w:t>Artículo 249.- Recurso de Reconsideración.-</w:t>
      </w:r>
      <w:r w:rsidRPr="004A0F8D">
        <w:rPr>
          <w:rFonts w:cs="Tahoma"/>
          <w:sz w:val="16"/>
          <w:szCs w:val="16"/>
          <w:lang w:val="es-PE"/>
        </w:rPr>
        <w:t xml:space="preserve"> Contra lo resuelto por el Tribunal en un procedimiento sancionador podrá interponerse Recurso de Reconsideración dentro de los cinco (5) días hábiles de notificada o publicada la respectiva resolución. (…)</w:t>
      </w:r>
    </w:p>
    <w:p w:rsidR="003067C3" w:rsidRPr="004A0F8D" w:rsidRDefault="003067C3" w:rsidP="003067C3">
      <w:pPr>
        <w:pStyle w:val="Textonotapie"/>
        <w:rPr>
          <w:rFonts w:cs="Tahoma"/>
          <w:sz w:val="16"/>
          <w:szCs w:val="16"/>
          <w:lang w:val="es-PE"/>
        </w:rPr>
      </w:pPr>
      <w:r w:rsidRPr="004A0F8D">
        <w:rPr>
          <w:rFonts w:cs="Tahoma"/>
          <w:sz w:val="16"/>
          <w:szCs w:val="16"/>
          <w:lang w:val="es-PE"/>
        </w:rPr>
        <w:t>El tribunal resolverá dentro del plazo de quince (15) días hábiles improrrogables de presentado sin observaciones o subsanado el recurso de reconsideración.</w:t>
      </w:r>
    </w:p>
    <w:p w:rsidR="003067C3" w:rsidRPr="00C95E38" w:rsidRDefault="003067C3" w:rsidP="003067C3">
      <w:pPr>
        <w:pStyle w:val="Textonotapie"/>
        <w:ind w:left="180"/>
        <w:rPr>
          <w:rFonts w:cs="Tahoma"/>
          <w:i/>
        </w:rPr>
      </w:pPr>
    </w:p>
  </w:footnote>
  <w:footnote w:id="3">
    <w:p w:rsidR="003067C3" w:rsidRPr="007C6B0C" w:rsidRDefault="003067C3" w:rsidP="003067C3">
      <w:pPr>
        <w:pStyle w:val="Sinespaciado"/>
        <w:jc w:val="both"/>
        <w:rPr>
          <w:rFonts w:ascii="Tahoma" w:hAnsi="Tahoma" w:cs="Tahoma"/>
          <w:sz w:val="16"/>
          <w:szCs w:val="16"/>
        </w:rPr>
      </w:pPr>
      <w:r w:rsidRPr="007C6B0C">
        <w:rPr>
          <w:rStyle w:val="Refdenotaalpie"/>
          <w:sz w:val="16"/>
          <w:szCs w:val="16"/>
        </w:rPr>
        <w:footnoteRef/>
      </w:r>
      <w:r w:rsidRPr="007C6B0C">
        <w:rPr>
          <w:sz w:val="16"/>
          <w:szCs w:val="16"/>
        </w:rPr>
        <w:t xml:space="preserve"> </w:t>
      </w:r>
      <w:r w:rsidRPr="007C6B0C">
        <w:rPr>
          <w:rFonts w:ascii="Tahoma" w:hAnsi="Tahoma" w:cs="Tahoma"/>
          <w:b/>
          <w:bCs/>
          <w:sz w:val="16"/>
          <w:szCs w:val="16"/>
        </w:rPr>
        <w:t>Artículo 237.- Infracciones y sanciones administrativas</w:t>
      </w:r>
    </w:p>
    <w:p w:rsidR="003067C3" w:rsidRPr="007C6B0C" w:rsidRDefault="003067C3" w:rsidP="003067C3">
      <w:pPr>
        <w:pStyle w:val="Sinespaciado"/>
        <w:jc w:val="both"/>
        <w:rPr>
          <w:rFonts w:ascii="Tahoma" w:hAnsi="Tahoma" w:cs="Tahoma"/>
          <w:sz w:val="16"/>
          <w:szCs w:val="16"/>
        </w:rPr>
      </w:pPr>
      <w:r w:rsidRPr="007C6B0C">
        <w:rPr>
          <w:rFonts w:ascii="Tahoma" w:hAnsi="Tahoma" w:cs="Tahoma"/>
          <w:sz w:val="16"/>
          <w:szCs w:val="16"/>
        </w:rPr>
        <w:t>1. Infracciones</w:t>
      </w:r>
    </w:p>
    <w:p w:rsidR="003067C3" w:rsidRPr="007C6B0C" w:rsidRDefault="003067C3" w:rsidP="003067C3">
      <w:pPr>
        <w:pStyle w:val="Sinespaciado"/>
        <w:jc w:val="both"/>
        <w:rPr>
          <w:rFonts w:ascii="Tahoma" w:hAnsi="Tahoma" w:cs="Tahoma"/>
          <w:sz w:val="16"/>
          <w:szCs w:val="16"/>
        </w:rPr>
      </w:pPr>
      <w:r w:rsidRPr="007C6B0C">
        <w:rPr>
          <w:rFonts w:ascii="Tahoma" w:hAnsi="Tahoma" w:cs="Tahoma"/>
          <w:sz w:val="16"/>
          <w:szCs w:val="16"/>
        </w:rPr>
        <w:t xml:space="preserve">Se impondrá sanción administrativa a los proveedores, participantes, postores y/o contratistas que: </w:t>
      </w:r>
    </w:p>
    <w:p w:rsidR="003067C3" w:rsidRDefault="003067C3" w:rsidP="003067C3">
      <w:pPr>
        <w:pStyle w:val="Textonotapie"/>
        <w:tabs>
          <w:tab w:val="left" w:pos="284"/>
        </w:tabs>
        <w:ind w:left="284" w:hanging="284"/>
      </w:pPr>
      <w:r w:rsidRPr="007C6B0C">
        <w:rPr>
          <w:rFonts w:cs="Tahoma"/>
          <w:sz w:val="16"/>
          <w:szCs w:val="16"/>
        </w:rPr>
        <w:t>a)</w:t>
      </w:r>
      <w:r w:rsidRPr="007C6B0C">
        <w:rPr>
          <w:sz w:val="16"/>
          <w:szCs w:val="16"/>
          <w:lang w:val="es-PE"/>
        </w:rPr>
        <w:tab/>
        <w:t>(…), de resultar ganadores hasta la suscripción del contrato, (…)</w:t>
      </w:r>
    </w:p>
  </w:footnote>
  <w:footnote w:id="4">
    <w:p w:rsidR="003067C3" w:rsidRPr="008556BE" w:rsidRDefault="003067C3" w:rsidP="008556BE">
      <w:pPr>
        <w:pStyle w:val="Textonotapie"/>
        <w:tabs>
          <w:tab w:val="left" w:pos="360"/>
        </w:tabs>
        <w:ind w:left="180" w:hanging="180"/>
        <w:jc w:val="both"/>
        <w:rPr>
          <w:rFonts w:cs="Tahoma"/>
          <w:sz w:val="14"/>
          <w:szCs w:val="14"/>
          <w:lang w:val="es-ES_tradnl"/>
        </w:rPr>
      </w:pPr>
      <w:r w:rsidRPr="008556BE">
        <w:rPr>
          <w:rStyle w:val="Refdenotaalpie"/>
          <w:sz w:val="14"/>
          <w:szCs w:val="14"/>
        </w:rPr>
        <w:footnoteRef/>
      </w:r>
      <w:r w:rsidRPr="008556BE">
        <w:rPr>
          <w:sz w:val="14"/>
          <w:szCs w:val="14"/>
        </w:rPr>
        <w:t xml:space="preserve"> </w:t>
      </w:r>
      <w:r w:rsidRPr="008556BE">
        <w:rPr>
          <w:rFonts w:cs="Tahoma"/>
          <w:sz w:val="14"/>
          <w:szCs w:val="14"/>
          <w:lang w:val="es-ES_tradnl"/>
        </w:rPr>
        <w:t xml:space="preserve">Sobre el particular, el numeral 1.2 del Artículo IV del Título Preliminar de la Ley del  Procedimiento Administrativo General establece que los administrados gozan de todos los derechos y garantías inherentes al debido procedimiento administrativo, que comprende el derecho a exponer sus argumentos, a ofrecer y producir pruebas </w:t>
      </w:r>
      <w:r w:rsidRPr="008556BE">
        <w:rPr>
          <w:rFonts w:cs="Tahoma"/>
          <w:sz w:val="14"/>
          <w:szCs w:val="14"/>
          <w:u w:val="single"/>
          <w:lang w:val="es-ES_tradnl"/>
        </w:rPr>
        <w:t>y a obtener una decisión motivada y fundada en derecho</w:t>
      </w:r>
      <w:r w:rsidRPr="008556BE">
        <w:rPr>
          <w:rFonts w:cs="Tahoma"/>
          <w:sz w:val="14"/>
          <w:szCs w:val="14"/>
          <w:lang w:val="es-ES_tradnl"/>
        </w:rPr>
        <w:t xml:space="preserve">. En la misma línea, el numeral 4 del artículo 3 del citado cuerpo legal prescribe que </w:t>
      </w:r>
      <w:r w:rsidRPr="008556BE">
        <w:rPr>
          <w:rFonts w:cs="Tahoma"/>
          <w:sz w:val="14"/>
          <w:szCs w:val="14"/>
          <w:u w:val="single"/>
          <w:lang w:val="es-ES_tradnl"/>
        </w:rPr>
        <w:t>el acto administrativo debe estar debidamente motivado</w:t>
      </w:r>
      <w:r w:rsidRPr="008556BE">
        <w:rPr>
          <w:rFonts w:cs="Tahoma"/>
          <w:sz w:val="14"/>
          <w:szCs w:val="14"/>
          <w:lang w:val="es-ES_tradnl"/>
        </w:rPr>
        <w:t xml:space="preserve"> en proporción al contenido y conforme al ordenamiento jurídico.</w:t>
      </w:r>
    </w:p>
    <w:p w:rsidR="003067C3" w:rsidRPr="008556BE" w:rsidRDefault="003067C3" w:rsidP="008556BE">
      <w:pPr>
        <w:pStyle w:val="Textonotapie"/>
        <w:ind w:left="180" w:hanging="180"/>
        <w:jc w:val="both"/>
        <w:rPr>
          <w:rFonts w:cs="Tahoma"/>
          <w:sz w:val="14"/>
          <w:szCs w:val="14"/>
          <w:lang w:val="es-ES_tradnl"/>
        </w:rPr>
      </w:pPr>
      <w:r w:rsidRPr="008556BE">
        <w:rPr>
          <w:rFonts w:cs="Tahoma"/>
          <w:sz w:val="14"/>
          <w:szCs w:val="14"/>
          <w:lang w:val="es-ES_tradnl"/>
        </w:rPr>
        <w:t xml:space="preserve"> </w:t>
      </w:r>
    </w:p>
  </w:footnote>
  <w:footnote w:id="5">
    <w:p w:rsidR="003067C3" w:rsidRPr="008556BE" w:rsidRDefault="003067C3" w:rsidP="008556BE">
      <w:pPr>
        <w:pStyle w:val="Textonotapie"/>
        <w:ind w:left="180" w:hanging="180"/>
        <w:jc w:val="both"/>
        <w:rPr>
          <w:rFonts w:cs="Tahoma"/>
          <w:sz w:val="14"/>
          <w:szCs w:val="14"/>
          <w:lang w:val="es-ES_tradnl"/>
        </w:rPr>
      </w:pPr>
      <w:r w:rsidRPr="008556BE">
        <w:rPr>
          <w:rStyle w:val="Refdenotaalpie"/>
          <w:rFonts w:cs="Tahoma"/>
          <w:sz w:val="14"/>
          <w:szCs w:val="14"/>
        </w:rPr>
        <w:footnoteRef/>
      </w:r>
      <w:r w:rsidRPr="008556BE">
        <w:rPr>
          <w:rFonts w:cs="Tahoma"/>
          <w:sz w:val="14"/>
          <w:szCs w:val="14"/>
        </w:rPr>
        <w:t xml:space="preserve">  </w:t>
      </w:r>
      <w:r w:rsidRPr="008556BE">
        <w:rPr>
          <w:rFonts w:cs="Tahoma"/>
          <w:sz w:val="14"/>
          <w:szCs w:val="14"/>
          <w:lang w:val="es-ES_tradnl"/>
        </w:rPr>
        <w:t xml:space="preserve">Cabe traer a colación el artículo 208 de la Ley № 27444, Ley del Procedimiento Administrativo General, que dispone que el recurso de reconsideración se interpondrá ante el mismo órgano que dictó el acto que es materia de impugnación y </w:t>
      </w:r>
      <w:r w:rsidRPr="008556BE">
        <w:rPr>
          <w:rFonts w:cs="Tahoma"/>
          <w:sz w:val="14"/>
          <w:szCs w:val="14"/>
          <w:u w:val="single"/>
          <w:lang w:val="es-ES_tradnl"/>
        </w:rPr>
        <w:t>deberá sustentarse en nueva prueba</w:t>
      </w:r>
      <w:r w:rsidRPr="008556BE">
        <w:rPr>
          <w:rFonts w:cs="Tahoma"/>
          <w:sz w:val="14"/>
          <w:szCs w:val="14"/>
          <w:lang w:val="es-ES_tradnl"/>
        </w:rPr>
        <w:t xml:space="preserve">. </w:t>
      </w:r>
    </w:p>
    <w:p w:rsidR="003067C3" w:rsidRPr="008556BE" w:rsidRDefault="003067C3" w:rsidP="008556BE">
      <w:pPr>
        <w:pStyle w:val="Textonotapie"/>
        <w:ind w:left="180" w:hanging="180"/>
        <w:jc w:val="both"/>
        <w:rPr>
          <w:rFonts w:cs="Tahoma"/>
          <w:sz w:val="14"/>
          <w:szCs w:val="14"/>
          <w:lang w:val="es-ES_tradnl"/>
        </w:rPr>
      </w:pPr>
    </w:p>
  </w:footnote>
  <w:footnote w:id="6">
    <w:p w:rsidR="003067C3" w:rsidRPr="008556BE" w:rsidRDefault="003067C3" w:rsidP="008556BE">
      <w:pPr>
        <w:jc w:val="both"/>
        <w:rPr>
          <w:rFonts w:cs="Tahoma"/>
          <w:b/>
          <w:sz w:val="14"/>
          <w:szCs w:val="14"/>
        </w:rPr>
      </w:pPr>
      <w:r w:rsidRPr="008556BE">
        <w:rPr>
          <w:rStyle w:val="Refdenotaalpie"/>
          <w:rFonts w:cs="Tahoma"/>
          <w:sz w:val="14"/>
          <w:szCs w:val="14"/>
        </w:rPr>
        <w:footnoteRef/>
      </w:r>
      <w:r w:rsidRPr="008556BE">
        <w:rPr>
          <w:rFonts w:cs="Tahoma"/>
          <w:sz w:val="14"/>
          <w:szCs w:val="14"/>
        </w:rPr>
        <w:t xml:space="preserve"> </w:t>
      </w:r>
      <w:r w:rsidRPr="008556BE">
        <w:rPr>
          <w:rFonts w:cs="Tahoma"/>
          <w:b/>
          <w:sz w:val="14"/>
          <w:szCs w:val="14"/>
        </w:rPr>
        <w:t>Artículo 77.- Consentimiento del otorgamiento de la Buena Pro</w:t>
      </w:r>
    </w:p>
    <w:p w:rsidR="003067C3" w:rsidRPr="008556BE" w:rsidRDefault="003067C3" w:rsidP="008556BE">
      <w:pPr>
        <w:pStyle w:val="Textonotapie"/>
        <w:jc w:val="both"/>
        <w:rPr>
          <w:rFonts w:cs="Tahoma"/>
          <w:sz w:val="14"/>
          <w:szCs w:val="14"/>
        </w:rPr>
      </w:pPr>
      <w:r w:rsidRPr="008556BE">
        <w:rPr>
          <w:rFonts w:cs="Tahoma"/>
          <w:sz w:val="14"/>
          <w:szCs w:val="14"/>
        </w:rPr>
        <w:t>(…)</w:t>
      </w:r>
    </w:p>
    <w:p w:rsidR="003067C3" w:rsidRPr="008556BE" w:rsidRDefault="003067C3" w:rsidP="003067C3">
      <w:pPr>
        <w:pStyle w:val="Textonotapie"/>
        <w:rPr>
          <w:rFonts w:cs="Tahoma"/>
          <w:sz w:val="14"/>
          <w:szCs w:val="14"/>
        </w:rPr>
      </w:pPr>
      <w:r w:rsidRPr="008556BE">
        <w:rPr>
          <w:rFonts w:cs="Tahoma"/>
          <w:sz w:val="14"/>
          <w:szCs w:val="14"/>
        </w:rPr>
        <w:t>Cuando se hayan presentado dos (2) o más propuestas, el consentimiento de la Buena Pro se producirá a los ocho (8) días hábiles de la notificación de su otorgamiento, sin que los postores hayan ejercido el derecho de interponer el</w:t>
      </w:r>
    </w:p>
    <w:p w:rsidR="003067C3" w:rsidRPr="00A261D8" w:rsidRDefault="003067C3" w:rsidP="003067C3">
      <w:pPr>
        <w:pStyle w:val="Textonotapie"/>
        <w:rPr>
          <w:rFonts w:cs="Tahoma"/>
          <w:sz w:val="18"/>
          <w:szCs w:val="18"/>
        </w:rPr>
      </w:pPr>
      <w:r w:rsidRPr="008556BE">
        <w:rPr>
          <w:rFonts w:cs="Tahoma"/>
          <w:sz w:val="14"/>
          <w:szCs w:val="14"/>
        </w:rPr>
        <w:t>recurso de apelación. En el caso de Adjudicaciones Directas y de Adjudicaciones de Menor Cuantía, el plazo será de cinco (5) días hábiles.</w:t>
      </w:r>
      <w:r>
        <w:rPr>
          <w:rFonts w:cs="Tahoma"/>
          <w:sz w:val="16"/>
          <w:szCs w:val="16"/>
        </w:rPr>
        <w:t xml:space="preserve"> </w:t>
      </w:r>
    </w:p>
  </w:footnote>
  <w:footnote w:id="7">
    <w:p w:rsidR="003067C3" w:rsidRPr="002C43F1" w:rsidRDefault="003067C3" w:rsidP="003067C3">
      <w:pPr>
        <w:pStyle w:val="Textonotapie"/>
        <w:rPr>
          <w:sz w:val="16"/>
          <w:szCs w:val="16"/>
          <w:lang w:val="es-PE"/>
        </w:rPr>
      </w:pPr>
      <w:r w:rsidRPr="002C43F1">
        <w:rPr>
          <w:rStyle w:val="Refdenotaalpie"/>
          <w:sz w:val="16"/>
          <w:szCs w:val="16"/>
        </w:rPr>
        <w:footnoteRef/>
      </w:r>
      <w:r w:rsidRPr="002C43F1">
        <w:rPr>
          <w:sz w:val="16"/>
          <w:szCs w:val="16"/>
        </w:rPr>
        <w:t xml:space="preserve"> </w:t>
      </w:r>
      <w:r w:rsidRPr="002C43F1">
        <w:rPr>
          <w:sz w:val="16"/>
          <w:szCs w:val="16"/>
          <w:lang w:val="es-PE"/>
        </w:rPr>
        <w:t>A este respecto, véase la Resolución N.° 689/2007.TC-S3 del 2 1de junio de 2007, entre otras.</w:t>
      </w:r>
    </w:p>
  </w:footnote>
  <w:footnote w:id="8">
    <w:p w:rsidR="003067C3" w:rsidRPr="00166504" w:rsidRDefault="003067C3" w:rsidP="003067C3">
      <w:pPr>
        <w:pStyle w:val="Textonotapie"/>
        <w:rPr>
          <w:sz w:val="16"/>
          <w:szCs w:val="16"/>
        </w:rPr>
      </w:pPr>
      <w:r w:rsidRPr="00166504">
        <w:rPr>
          <w:rStyle w:val="Refdenotaalpie"/>
          <w:sz w:val="16"/>
          <w:szCs w:val="16"/>
        </w:rPr>
        <w:footnoteRef/>
      </w:r>
      <w:r w:rsidRPr="00166504">
        <w:rPr>
          <w:sz w:val="16"/>
          <w:szCs w:val="16"/>
        </w:rPr>
        <w:t xml:space="preserve"> Documento obrante a folio № 009 del expediente administrativo.</w:t>
      </w:r>
    </w:p>
  </w:footnote>
  <w:footnote w:id="9">
    <w:p w:rsidR="003067C3" w:rsidRPr="00166504" w:rsidRDefault="003067C3" w:rsidP="003067C3">
      <w:pPr>
        <w:pStyle w:val="Textonotapie"/>
        <w:rPr>
          <w:sz w:val="16"/>
          <w:szCs w:val="16"/>
        </w:rPr>
      </w:pPr>
      <w:r w:rsidRPr="00166504">
        <w:rPr>
          <w:rStyle w:val="Refdenotaalpie"/>
          <w:sz w:val="16"/>
          <w:szCs w:val="16"/>
        </w:rPr>
        <w:footnoteRef/>
      </w:r>
      <w:r w:rsidRPr="00166504">
        <w:rPr>
          <w:sz w:val="16"/>
          <w:szCs w:val="16"/>
        </w:rPr>
        <w:t xml:space="preserve"> </w:t>
      </w:r>
      <w:r w:rsidRPr="00166504">
        <w:rPr>
          <w:b/>
          <w:sz w:val="16"/>
          <w:szCs w:val="16"/>
        </w:rPr>
        <w:t>Articulo 77.- Consentimiento del otorgamiento de la Buena Pro</w:t>
      </w:r>
    </w:p>
    <w:p w:rsidR="003067C3" w:rsidRPr="00166504" w:rsidRDefault="003067C3" w:rsidP="003067C3">
      <w:pPr>
        <w:pStyle w:val="Textonotapie"/>
        <w:rPr>
          <w:sz w:val="16"/>
          <w:szCs w:val="16"/>
        </w:rPr>
      </w:pPr>
      <w:r w:rsidRPr="00166504">
        <w:rPr>
          <w:sz w:val="16"/>
          <w:szCs w:val="16"/>
        </w:rPr>
        <w:t>(…)</w:t>
      </w:r>
    </w:p>
    <w:p w:rsidR="003067C3" w:rsidRDefault="003067C3" w:rsidP="003067C3">
      <w:pPr>
        <w:pStyle w:val="Textonotapie"/>
      </w:pPr>
      <w:r w:rsidRPr="00166504">
        <w:rPr>
          <w:sz w:val="16"/>
          <w:szCs w:val="16"/>
        </w:rPr>
        <w:t>Una vez consentido el otorgamiento de la Buena Pro, el Comité Especial remitirá el Expediente de Contratación al órgano encargado de las contrataciones de la Entidad, el que asumirá competencia desde ese momento para ejecutar los actos destinados a la formalización del contrato.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5D04" w:rsidRDefault="00685D04" w:rsidP="00685D04">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685D04" w:rsidRDefault="00685D04" w:rsidP="00685D04">
    <w:pPr>
      <w:pStyle w:val="Encabezado"/>
      <w:rPr>
        <w:noProof/>
      </w:rPr>
    </w:pPr>
  </w:p>
  <w:p w:rsidR="00685D04" w:rsidRDefault="00685D04" w:rsidP="00685D04">
    <w:pPr>
      <w:pStyle w:val="Encabezado"/>
      <w:rPr>
        <w:noProof/>
      </w:rPr>
    </w:pPr>
  </w:p>
  <w:p w:rsidR="00685D04" w:rsidRDefault="00685D04" w:rsidP="00685D04">
    <w:pPr>
      <w:pStyle w:val="Encabezado"/>
      <w:rPr>
        <w:noProof/>
      </w:rPr>
    </w:pPr>
  </w:p>
  <w:p w:rsidR="00685D04" w:rsidRDefault="00685D04" w:rsidP="00685D04">
    <w:pPr>
      <w:pStyle w:val="Encabezado"/>
      <w:jc w:val="center"/>
    </w:pPr>
    <w:r>
      <w:rPr>
        <w:rFonts w:ascii="Monotype Corsiva" w:hAnsi="Monotype Corsiva"/>
        <w:b/>
        <w:sz w:val="44"/>
        <w:szCs w:val="44"/>
      </w:rPr>
      <w:t xml:space="preserve">Resolución Nº   </w:t>
    </w:r>
    <w:r>
      <w:rPr>
        <w:rFonts w:ascii="Tahoma" w:hAnsi="Tahoma" w:cs="Tahoma"/>
        <w:b/>
        <w:sz w:val="44"/>
        <w:szCs w:val="44"/>
      </w:rPr>
      <w:t>433-2011-TC-S1</w:t>
    </w:r>
  </w:p>
  <w:p w:rsidR="00685D04" w:rsidRDefault="00685D04">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11100"/>
    <w:multiLevelType w:val="hybridMultilevel"/>
    <w:tmpl w:val="E3501DDE"/>
    <w:lvl w:ilvl="0" w:tplc="0C0A0017">
      <w:start w:val="1"/>
      <w:numFmt w:val="lowerLetter"/>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094E2944"/>
    <w:multiLevelType w:val="hybridMultilevel"/>
    <w:tmpl w:val="51080654"/>
    <w:lvl w:ilvl="0" w:tplc="110415B6">
      <w:start w:val="1"/>
      <w:numFmt w:val="decimal"/>
      <w:lvlText w:val="%1."/>
      <w:lvlJc w:val="left"/>
      <w:pPr>
        <w:tabs>
          <w:tab w:val="num" w:pos="720"/>
        </w:tabs>
        <w:ind w:left="720" w:hanging="360"/>
      </w:pPr>
      <w:rPr>
        <w:rFonts w:ascii="Tahoma" w:hAnsi="Tahoma" w:cs="Tahoma" w:hint="default"/>
        <w:b/>
        <w:i w:val="0"/>
        <w:shadow/>
        <w:sz w:val="20"/>
        <w:szCs w:val="20"/>
      </w:r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24E642A4"/>
    <w:multiLevelType w:val="hybridMultilevel"/>
    <w:tmpl w:val="B8E84A46"/>
    <w:lvl w:ilvl="0" w:tplc="64C07A18">
      <w:start w:val="1"/>
      <w:numFmt w:val="lowerLetter"/>
      <w:lvlText w:val="%1."/>
      <w:lvlJc w:val="left"/>
      <w:pPr>
        <w:ind w:left="1287" w:hanging="360"/>
      </w:pPr>
    </w:lvl>
    <w:lvl w:ilvl="1" w:tplc="70F2732C" w:tentative="1">
      <w:start w:val="1"/>
      <w:numFmt w:val="lowerLetter"/>
      <w:lvlText w:val="%2."/>
      <w:lvlJc w:val="left"/>
      <w:pPr>
        <w:ind w:left="2007" w:hanging="360"/>
      </w:pPr>
    </w:lvl>
    <w:lvl w:ilvl="2" w:tplc="1068C93C" w:tentative="1">
      <w:start w:val="1"/>
      <w:numFmt w:val="lowerRoman"/>
      <w:lvlText w:val="%3."/>
      <w:lvlJc w:val="right"/>
      <w:pPr>
        <w:ind w:left="2727" w:hanging="180"/>
      </w:pPr>
    </w:lvl>
    <w:lvl w:ilvl="3" w:tplc="213A255C"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3">
    <w:nsid w:val="30F60E13"/>
    <w:multiLevelType w:val="hybridMultilevel"/>
    <w:tmpl w:val="D39495C2"/>
    <w:lvl w:ilvl="0" w:tplc="BC464342">
      <w:start w:val="1"/>
      <w:numFmt w:val="lowerRoman"/>
      <w:lvlText w:val="%1."/>
      <w:lvlJc w:val="right"/>
      <w:pPr>
        <w:ind w:left="927" w:hanging="360"/>
      </w:pPr>
      <w:rPr>
        <w:rFonts w:hint="default"/>
        <w:b/>
        <w:i w:val="0"/>
        <w:sz w:val="20"/>
        <w:szCs w:val="20"/>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4">
    <w:nsid w:val="353575A8"/>
    <w:multiLevelType w:val="hybridMultilevel"/>
    <w:tmpl w:val="54F0E0A2"/>
    <w:lvl w:ilvl="0" w:tplc="64C07A18">
      <w:start w:val="1"/>
      <w:numFmt w:val="decimal"/>
      <w:lvlText w:val="%1."/>
      <w:lvlJc w:val="left"/>
      <w:pPr>
        <w:ind w:left="360" w:hanging="360"/>
      </w:pPr>
      <w:rPr>
        <w:b/>
      </w:rPr>
    </w:lvl>
    <w:lvl w:ilvl="1" w:tplc="70F2732C" w:tentative="1">
      <w:start w:val="1"/>
      <w:numFmt w:val="lowerLetter"/>
      <w:lvlText w:val="%2."/>
      <w:lvlJc w:val="left"/>
      <w:pPr>
        <w:ind w:left="1080" w:hanging="360"/>
      </w:pPr>
    </w:lvl>
    <w:lvl w:ilvl="2" w:tplc="1068C93C" w:tentative="1">
      <w:start w:val="1"/>
      <w:numFmt w:val="lowerRoman"/>
      <w:lvlText w:val="%3."/>
      <w:lvlJc w:val="right"/>
      <w:pPr>
        <w:ind w:left="1800" w:hanging="180"/>
      </w:pPr>
    </w:lvl>
    <w:lvl w:ilvl="3" w:tplc="213A255C"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5">
    <w:nsid w:val="36C13996"/>
    <w:multiLevelType w:val="hybridMultilevel"/>
    <w:tmpl w:val="3940A9BE"/>
    <w:lvl w:ilvl="0" w:tplc="5150BA24">
      <w:start w:val="1"/>
      <w:numFmt w:val="lowerRoman"/>
      <w:lvlText w:val="%1."/>
      <w:lvlJc w:val="right"/>
      <w:pPr>
        <w:ind w:left="1440" w:hanging="360"/>
      </w:pPr>
      <w:rPr>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6">
    <w:nsid w:val="3B7B237C"/>
    <w:multiLevelType w:val="hybridMultilevel"/>
    <w:tmpl w:val="012444D4"/>
    <w:lvl w:ilvl="0" w:tplc="64C07A18">
      <w:start w:val="1"/>
      <w:numFmt w:val="decimal"/>
      <w:lvlText w:val="%1."/>
      <w:lvlJc w:val="left"/>
      <w:pPr>
        <w:tabs>
          <w:tab w:val="num" w:pos="720"/>
        </w:tabs>
        <w:ind w:left="720" w:hanging="360"/>
      </w:pPr>
      <w:rPr>
        <w:b/>
      </w:rPr>
    </w:lvl>
    <w:lvl w:ilvl="1" w:tplc="70F2732C">
      <w:start w:val="1"/>
      <w:numFmt w:val="lowerLetter"/>
      <w:lvlText w:val="%2."/>
      <w:lvlJc w:val="left"/>
      <w:pPr>
        <w:tabs>
          <w:tab w:val="num" w:pos="1440"/>
        </w:tabs>
        <w:ind w:left="1440" w:hanging="360"/>
      </w:pPr>
    </w:lvl>
    <w:lvl w:ilvl="2" w:tplc="1068C93C">
      <w:start w:val="1"/>
      <w:numFmt w:val="lowerLetter"/>
      <w:lvlText w:val="%3)"/>
      <w:lvlJc w:val="left"/>
      <w:pPr>
        <w:tabs>
          <w:tab w:val="num" w:pos="2340"/>
        </w:tabs>
        <w:ind w:left="2340" w:hanging="360"/>
      </w:pPr>
      <w:rPr>
        <w:rFonts w:hint="default"/>
      </w:r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7">
    <w:nsid w:val="3CEF60C4"/>
    <w:multiLevelType w:val="hybridMultilevel"/>
    <w:tmpl w:val="06EAC0EE"/>
    <w:lvl w:ilvl="0" w:tplc="0B5E965A">
      <w:start w:val="1"/>
      <w:numFmt w:val="lowerRoman"/>
      <w:lvlText w:val="%1."/>
      <w:lvlJc w:val="right"/>
      <w:pPr>
        <w:ind w:left="1800" w:hanging="360"/>
      </w:pPr>
      <w:rPr>
        <w:b/>
      </w:rPr>
    </w:lvl>
    <w:lvl w:ilvl="1" w:tplc="0C0A0019" w:tentative="1">
      <w:start w:val="1"/>
      <w:numFmt w:val="lowerLetter"/>
      <w:lvlText w:val="%2."/>
      <w:lvlJc w:val="left"/>
      <w:pPr>
        <w:ind w:left="2520" w:hanging="360"/>
      </w:pPr>
    </w:lvl>
    <w:lvl w:ilvl="2" w:tplc="0C0A001B" w:tentative="1">
      <w:start w:val="1"/>
      <w:numFmt w:val="lowerRoman"/>
      <w:lvlText w:val="%3."/>
      <w:lvlJc w:val="right"/>
      <w:pPr>
        <w:ind w:left="3240" w:hanging="180"/>
      </w:pPr>
    </w:lvl>
    <w:lvl w:ilvl="3" w:tplc="0C0A000F"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8">
    <w:nsid w:val="40497296"/>
    <w:multiLevelType w:val="hybridMultilevel"/>
    <w:tmpl w:val="C2221798"/>
    <w:lvl w:ilvl="0" w:tplc="64C07A18">
      <w:start w:val="1"/>
      <w:numFmt w:val="lowerLetter"/>
      <w:lvlText w:val="%1)"/>
      <w:lvlJc w:val="left"/>
      <w:pPr>
        <w:ind w:left="1800" w:hanging="360"/>
      </w:pPr>
      <w:rPr>
        <w:b/>
      </w:rPr>
    </w:lvl>
    <w:lvl w:ilvl="1" w:tplc="70F2732C" w:tentative="1">
      <w:start w:val="1"/>
      <w:numFmt w:val="lowerLetter"/>
      <w:lvlText w:val="%2."/>
      <w:lvlJc w:val="left"/>
      <w:pPr>
        <w:ind w:left="2520" w:hanging="360"/>
      </w:pPr>
    </w:lvl>
    <w:lvl w:ilvl="2" w:tplc="1068C93C" w:tentative="1">
      <w:start w:val="1"/>
      <w:numFmt w:val="lowerRoman"/>
      <w:lvlText w:val="%3."/>
      <w:lvlJc w:val="right"/>
      <w:pPr>
        <w:ind w:left="3240" w:hanging="180"/>
      </w:pPr>
    </w:lvl>
    <w:lvl w:ilvl="3" w:tplc="213A255C" w:tentative="1">
      <w:start w:val="1"/>
      <w:numFmt w:val="decimal"/>
      <w:lvlText w:val="%4."/>
      <w:lvlJc w:val="left"/>
      <w:pPr>
        <w:ind w:left="3960" w:hanging="360"/>
      </w:pPr>
    </w:lvl>
    <w:lvl w:ilvl="4" w:tplc="0C0A0019" w:tentative="1">
      <w:start w:val="1"/>
      <w:numFmt w:val="lowerLetter"/>
      <w:lvlText w:val="%5."/>
      <w:lvlJc w:val="left"/>
      <w:pPr>
        <w:ind w:left="4680" w:hanging="360"/>
      </w:pPr>
    </w:lvl>
    <w:lvl w:ilvl="5" w:tplc="0C0A001B" w:tentative="1">
      <w:start w:val="1"/>
      <w:numFmt w:val="lowerRoman"/>
      <w:lvlText w:val="%6."/>
      <w:lvlJc w:val="right"/>
      <w:pPr>
        <w:ind w:left="5400" w:hanging="180"/>
      </w:pPr>
    </w:lvl>
    <w:lvl w:ilvl="6" w:tplc="0C0A000F" w:tentative="1">
      <w:start w:val="1"/>
      <w:numFmt w:val="decimal"/>
      <w:lvlText w:val="%7."/>
      <w:lvlJc w:val="left"/>
      <w:pPr>
        <w:ind w:left="6120" w:hanging="360"/>
      </w:pPr>
    </w:lvl>
    <w:lvl w:ilvl="7" w:tplc="0C0A0019" w:tentative="1">
      <w:start w:val="1"/>
      <w:numFmt w:val="lowerLetter"/>
      <w:lvlText w:val="%8."/>
      <w:lvlJc w:val="left"/>
      <w:pPr>
        <w:ind w:left="6840" w:hanging="360"/>
      </w:pPr>
    </w:lvl>
    <w:lvl w:ilvl="8" w:tplc="0C0A001B" w:tentative="1">
      <w:start w:val="1"/>
      <w:numFmt w:val="lowerRoman"/>
      <w:lvlText w:val="%9."/>
      <w:lvlJc w:val="right"/>
      <w:pPr>
        <w:ind w:left="7560" w:hanging="180"/>
      </w:pPr>
    </w:lvl>
  </w:abstractNum>
  <w:abstractNum w:abstractNumId="9">
    <w:nsid w:val="452C5B89"/>
    <w:multiLevelType w:val="hybridMultilevel"/>
    <w:tmpl w:val="3940A9BE"/>
    <w:lvl w:ilvl="0" w:tplc="26EEE608">
      <w:start w:val="1"/>
      <w:numFmt w:val="lowerRoman"/>
      <w:lvlText w:val="%1."/>
      <w:lvlJc w:val="right"/>
      <w:pPr>
        <w:ind w:left="1440" w:hanging="360"/>
      </w:pPr>
      <w:rPr>
        <w:b/>
      </w:rPr>
    </w:lvl>
    <w:lvl w:ilvl="1" w:tplc="51769F8C" w:tentative="1">
      <w:start w:val="1"/>
      <w:numFmt w:val="lowerLetter"/>
      <w:lvlText w:val="%2."/>
      <w:lvlJc w:val="left"/>
      <w:pPr>
        <w:ind w:left="2160" w:hanging="360"/>
      </w:pPr>
    </w:lvl>
    <w:lvl w:ilvl="2" w:tplc="3A8094B6" w:tentative="1">
      <w:start w:val="1"/>
      <w:numFmt w:val="lowerRoman"/>
      <w:lvlText w:val="%3."/>
      <w:lvlJc w:val="right"/>
      <w:pPr>
        <w:ind w:left="2880" w:hanging="180"/>
      </w:pPr>
    </w:lvl>
    <w:lvl w:ilvl="3" w:tplc="90AC9E70" w:tentative="1">
      <w:start w:val="1"/>
      <w:numFmt w:val="decimal"/>
      <w:lvlText w:val="%4."/>
      <w:lvlJc w:val="left"/>
      <w:pPr>
        <w:ind w:left="3600" w:hanging="360"/>
      </w:pPr>
    </w:lvl>
    <w:lvl w:ilvl="4" w:tplc="CC1A8702" w:tentative="1">
      <w:start w:val="1"/>
      <w:numFmt w:val="lowerLetter"/>
      <w:lvlText w:val="%5."/>
      <w:lvlJc w:val="left"/>
      <w:pPr>
        <w:ind w:left="4320" w:hanging="360"/>
      </w:pPr>
    </w:lvl>
    <w:lvl w:ilvl="5" w:tplc="D1F68552" w:tentative="1">
      <w:start w:val="1"/>
      <w:numFmt w:val="lowerRoman"/>
      <w:lvlText w:val="%6."/>
      <w:lvlJc w:val="right"/>
      <w:pPr>
        <w:ind w:left="5040" w:hanging="180"/>
      </w:pPr>
    </w:lvl>
    <w:lvl w:ilvl="6" w:tplc="FE76A0E6" w:tentative="1">
      <w:start w:val="1"/>
      <w:numFmt w:val="decimal"/>
      <w:lvlText w:val="%7."/>
      <w:lvlJc w:val="left"/>
      <w:pPr>
        <w:ind w:left="5760" w:hanging="360"/>
      </w:pPr>
    </w:lvl>
    <w:lvl w:ilvl="7" w:tplc="358CA20A" w:tentative="1">
      <w:start w:val="1"/>
      <w:numFmt w:val="lowerLetter"/>
      <w:lvlText w:val="%8."/>
      <w:lvlJc w:val="left"/>
      <w:pPr>
        <w:ind w:left="6480" w:hanging="360"/>
      </w:pPr>
    </w:lvl>
    <w:lvl w:ilvl="8" w:tplc="DC1A7A36" w:tentative="1">
      <w:start w:val="1"/>
      <w:numFmt w:val="lowerRoman"/>
      <w:lvlText w:val="%9."/>
      <w:lvlJc w:val="right"/>
      <w:pPr>
        <w:ind w:left="7200" w:hanging="180"/>
      </w:pPr>
    </w:lvl>
  </w:abstractNum>
  <w:abstractNum w:abstractNumId="10">
    <w:nsid w:val="53B76387"/>
    <w:multiLevelType w:val="hybridMultilevel"/>
    <w:tmpl w:val="B172E634"/>
    <w:lvl w:ilvl="0" w:tplc="F7B2FA96">
      <w:start w:val="1"/>
      <w:numFmt w:val="decimal"/>
      <w:lvlText w:val="%1."/>
      <w:lvlJc w:val="left"/>
      <w:pPr>
        <w:ind w:left="720" w:hanging="360"/>
      </w:pPr>
      <w:rPr>
        <w:rFonts w:ascii="Tahoma" w:hAnsi="Tahoma" w:cs="Tahoma" w:hint="default"/>
        <w:b/>
        <w:i w:val="0"/>
        <w:color w:val="auto"/>
      </w:rPr>
    </w:lvl>
    <w:lvl w:ilvl="1" w:tplc="29FC20E4">
      <w:start w:val="5"/>
      <w:numFmt w:val="upperLetter"/>
      <w:lvlText w:val="%2."/>
      <w:lvlJc w:val="left"/>
      <w:pPr>
        <w:tabs>
          <w:tab w:val="num" w:pos="1440"/>
        </w:tabs>
        <w:ind w:left="1440" w:hanging="360"/>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54F73FDD"/>
    <w:multiLevelType w:val="hybridMultilevel"/>
    <w:tmpl w:val="015C6C94"/>
    <w:lvl w:ilvl="0" w:tplc="64C07A18">
      <w:start w:val="1"/>
      <w:numFmt w:val="lowerRoman"/>
      <w:lvlText w:val="%1."/>
      <w:lvlJc w:val="right"/>
      <w:pPr>
        <w:tabs>
          <w:tab w:val="num" w:pos="1287"/>
        </w:tabs>
        <w:ind w:left="1287" w:hanging="720"/>
      </w:pPr>
      <w:rPr>
        <w:rFonts w:hint="default"/>
        <w:b/>
        <w:sz w:val="24"/>
        <w:szCs w:val="24"/>
      </w:rPr>
    </w:lvl>
    <w:lvl w:ilvl="1" w:tplc="70F2732C" w:tentative="1">
      <w:start w:val="1"/>
      <w:numFmt w:val="lowerLetter"/>
      <w:lvlText w:val="%2."/>
      <w:lvlJc w:val="left"/>
      <w:pPr>
        <w:tabs>
          <w:tab w:val="num" w:pos="1647"/>
        </w:tabs>
        <w:ind w:left="1647" w:hanging="360"/>
      </w:pPr>
    </w:lvl>
    <w:lvl w:ilvl="2" w:tplc="1068C93C" w:tentative="1">
      <w:start w:val="1"/>
      <w:numFmt w:val="lowerRoman"/>
      <w:lvlText w:val="%3."/>
      <w:lvlJc w:val="right"/>
      <w:pPr>
        <w:tabs>
          <w:tab w:val="num" w:pos="2367"/>
        </w:tabs>
        <w:ind w:left="2367" w:hanging="180"/>
      </w:pPr>
    </w:lvl>
    <w:lvl w:ilvl="3" w:tplc="213A255C" w:tentative="1">
      <w:start w:val="1"/>
      <w:numFmt w:val="decimal"/>
      <w:lvlText w:val="%4."/>
      <w:lvlJc w:val="left"/>
      <w:pPr>
        <w:tabs>
          <w:tab w:val="num" w:pos="3087"/>
        </w:tabs>
        <w:ind w:left="3087" w:hanging="360"/>
      </w:pPr>
    </w:lvl>
    <w:lvl w:ilvl="4" w:tplc="0C0A0019" w:tentative="1">
      <w:start w:val="1"/>
      <w:numFmt w:val="lowerLetter"/>
      <w:lvlText w:val="%5."/>
      <w:lvlJc w:val="left"/>
      <w:pPr>
        <w:tabs>
          <w:tab w:val="num" w:pos="3807"/>
        </w:tabs>
        <w:ind w:left="3807" w:hanging="360"/>
      </w:pPr>
    </w:lvl>
    <w:lvl w:ilvl="5" w:tplc="0C0A001B" w:tentative="1">
      <w:start w:val="1"/>
      <w:numFmt w:val="lowerRoman"/>
      <w:lvlText w:val="%6."/>
      <w:lvlJc w:val="right"/>
      <w:pPr>
        <w:tabs>
          <w:tab w:val="num" w:pos="4527"/>
        </w:tabs>
        <w:ind w:left="4527" w:hanging="180"/>
      </w:pPr>
    </w:lvl>
    <w:lvl w:ilvl="6" w:tplc="0C0A000F" w:tentative="1">
      <w:start w:val="1"/>
      <w:numFmt w:val="decimal"/>
      <w:lvlText w:val="%7."/>
      <w:lvlJc w:val="left"/>
      <w:pPr>
        <w:tabs>
          <w:tab w:val="num" w:pos="5247"/>
        </w:tabs>
        <w:ind w:left="5247" w:hanging="360"/>
      </w:pPr>
    </w:lvl>
    <w:lvl w:ilvl="7" w:tplc="0C0A0019" w:tentative="1">
      <w:start w:val="1"/>
      <w:numFmt w:val="lowerLetter"/>
      <w:lvlText w:val="%8."/>
      <w:lvlJc w:val="left"/>
      <w:pPr>
        <w:tabs>
          <w:tab w:val="num" w:pos="5967"/>
        </w:tabs>
        <w:ind w:left="5967" w:hanging="360"/>
      </w:pPr>
    </w:lvl>
    <w:lvl w:ilvl="8" w:tplc="0C0A001B" w:tentative="1">
      <w:start w:val="1"/>
      <w:numFmt w:val="lowerRoman"/>
      <w:lvlText w:val="%9."/>
      <w:lvlJc w:val="right"/>
      <w:pPr>
        <w:tabs>
          <w:tab w:val="num" w:pos="6687"/>
        </w:tabs>
        <w:ind w:left="6687" w:hanging="180"/>
      </w:pPr>
    </w:lvl>
  </w:abstractNum>
  <w:abstractNum w:abstractNumId="12">
    <w:nsid w:val="55706F67"/>
    <w:multiLevelType w:val="hybridMultilevel"/>
    <w:tmpl w:val="C0589430"/>
    <w:lvl w:ilvl="0" w:tplc="64C07A18">
      <w:start w:val="1"/>
      <w:numFmt w:val="decimal"/>
      <w:lvlText w:val="%1."/>
      <w:lvlJc w:val="left"/>
      <w:pPr>
        <w:tabs>
          <w:tab w:val="num" w:pos="720"/>
        </w:tabs>
        <w:ind w:left="720" w:hanging="360"/>
      </w:pPr>
      <w:rPr>
        <w:rFonts w:hint="default"/>
      </w:rPr>
    </w:lvl>
    <w:lvl w:ilvl="1" w:tplc="70F2732C" w:tentative="1">
      <w:start w:val="1"/>
      <w:numFmt w:val="lowerLetter"/>
      <w:lvlText w:val="%2."/>
      <w:lvlJc w:val="left"/>
      <w:pPr>
        <w:tabs>
          <w:tab w:val="num" w:pos="1440"/>
        </w:tabs>
        <w:ind w:left="1440" w:hanging="360"/>
      </w:pPr>
    </w:lvl>
    <w:lvl w:ilvl="2" w:tplc="1068C93C" w:tentative="1">
      <w:start w:val="1"/>
      <w:numFmt w:val="lowerRoman"/>
      <w:lvlText w:val="%3."/>
      <w:lvlJc w:val="right"/>
      <w:pPr>
        <w:tabs>
          <w:tab w:val="num" w:pos="2160"/>
        </w:tabs>
        <w:ind w:left="2160" w:hanging="180"/>
      </w:pPr>
    </w:lvl>
    <w:lvl w:ilvl="3" w:tplc="213A255C"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nsid w:val="5ACC101E"/>
    <w:multiLevelType w:val="hybridMultilevel"/>
    <w:tmpl w:val="1DCCA2AC"/>
    <w:lvl w:ilvl="0" w:tplc="0C0A0019">
      <w:start w:val="1"/>
      <w:numFmt w:val="lowerRoman"/>
      <w:lvlText w:val="%1."/>
      <w:lvlJc w:val="right"/>
      <w:pPr>
        <w:ind w:left="1004" w:hanging="360"/>
      </w:pPr>
      <w:rPr>
        <w:b/>
      </w:rPr>
    </w:lvl>
    <w:lvl w:ilvl="1" w:tplc="0C0A0019" w:tentative="1">
      <w:start w:val="1"/>
      <w:numFmt w:val="lowerLetter"/>
      <w:lvlText w:val="%2."/>
      <w:lvlJc w:val="left"/>
      <w:pPr>
        <w:ind w:left="1724" w:hanging="360"/>
      </w:pPr>
    </w:lvl>
    <w:lvl w:ilvl="2" w:tplc="0C0A001B" w:tentative="1">
      <w:start w:val="1"/>
      <w:numFmt w:val="lowerRoman"/>
      <w:lvlText w:val="%3."/>
      <w:lvlJc w:val="right"/>
      <w:pPr>
        <w:ind w:left="2444" w:hanging="180"/>
      </w:pPr>
    </w:lvl>
    <w:lvl w:ilvl="3" w:tplc="0C0A000F" w:tentative="1">
      <w:start w:val="1"/>
      <w:numFmt w:val="decimal"/>
      <w:lvlText w:val="%4."/>
      <w:lvlJc w:val="left"/>
      <w:pPr>
        <w:ind w:left="3164" w:hanging="360"/>
      </w:pPr>
    </w:lvl>
    <w:lvl w:ilvl="4" w:tplc="0C0A0019" w:tentative="1">
      <w:start w:val="1"/>
      <w:numFmt w:val="lowerLetter"/>
      <w:lvlText w:val="%5."/>
      <w:lvlJc w:val="left"/>
      <w:pPr>
        <w:ind w:left="3884" w:hanging="360"/>
      </w:pPr>
    </w:lvl>
    <w:lvl w:ilvl="5" w:tplc="0C0A001B" w:tentative="1">
      <w:start w:val="1"/>
      <w:numFmt w:val="lowerRoman"/>
      <w:lvlText w:val="%6."/>
      <w:lvlJc w:val="right"/>
      <w:pPr>
        <w:ind w:left="4604" w:hanging="180"/>
      </w:pPr>
    </w:lvl>
    <w:lvl w:ilvl="6" w:tplc="0C0A000F" w:tentative="1">
      <w:start w:val="1"/>
      <w:numFmt w:val="decimal"/>
      <w:lvlText w:val="%7."/>
      <w:lvlJc w:val="left"/>
      <w:pPr>
        <w:ind w:left="5324" w:hanging="360"/>
      </w:pPr>
    </w:lvl>
    <w:lvl w:ilvl="7" w:tplc="0C0A0019" w:tentative="1">
      <w:start w:val="1"/>
      <w:numFmt w:val="lowerLetter"/>
      <w:lvlText w:val="%8."/>
      <w:lvlJc w:val="left"/>
      <w:pPr>
        <w:ind w:left="6044" w:hanging="360"/>
      </w:pPr>
    </w:lvl>
    <w:lvl w:ilvl="8" w:tplc="0C0A001B" w:tentative="1">
      <w:start w:val="1"/>
      <w:numFmt w:val="lowerRoman"/>
      <w:lvlText w:val="%9."/>
      <w:lvlJc w:val="right"/>
      <w:pPr>
        <w:ind w:left="6764" w:hanging="180"/>
      </w:pPr>
    </w:lvl>
  </w:abstractNum>
  <w:abstractNum w:abstractNumId="14">
    <w:nsid w:val="5B7855B0"/>
    <w:multiLevelType w:val="hybridMultilevel"/>
    <w:tmpl w:val="32E6EDA2"/>
    <w:lvl w:ilvl="0" w:tplc="F5C055C0">
      <w:start w:val="1"/>
      <w:numFmt w:val="lowerLetter"/>
      <w:lvlText w:val="%1)"/>
      <w:lvlJc w:val="left"/>
      <w:pPr>
        <w:ind w:left="3280" w:hanging="360"/>
      </w:pPr>
      <w:rPr>
        <w:rFonts w:hint="default"/>
        <w:b/>
        <w:i w:val="0"/>
        <w:lang w:val="es-ES"/>
      </w:rPr>
    </w:lvl>
    <w:lvl w:ilvl="1" w:tplc="0C0A0019" w:tentative="1">
      <w:start w:val="1"/>
      <w:numFmt w:val="lowerLetter"/>
      <w:lvlText w:val="%2."/>
      <w:lvlJc w:val="left"/>
      <w:pPr>
        <w:ind w:left="4000" w:hanging="360"/>
      </w:pPr>
    </w:lvl>
    <w:lvl w:ilvl="2" w:tplc="709221C6" w:tentative="1">
      <w:start w:val="1"/>
      <w:numFmt w:val="lowerRoman"/>
      <w:lvlText w:val="%3."/>
      <w:lvlJc w:val="right"/>
      <w:pPr>
        <w:ind w:left="4720" w:hanging="180"/>
      </w:pPr>
    </w:lvl>
    <w:lvl w:ilvl="3" w:tplc="0C0A000F" w:tentative="1">
      <w:start w:val="1"/>
      <w:numFmt w:val="decimal"/>
      <w:lvlText w:val="%4."/>
      <w:lvlJc w:val="left"/>
      <w:pPr>
        <w:ind w:left="5440" w:hanging="360"/>
      </w:pPr>
    </w:lvl>
    <w:lvl w:ilvl="4" w:tplc="0C0A0019" w:tentative="1">
      <w:start w:val="1"/>
      <w:numFmt w:val="lowerLetter"/>
      <w:lvlText w:val="%5."/>
      <w:lvlJc w:val="left"/>
      <w:pPr>
        <w:ind w:left="6160" w:hanging="360"/>
      </w:pPr>
    </w:lvl>
    <w:lvl w:ilvl="5" w:tplc="0C0A001B" w:tentative="1">
      <w:start w:val="1"/>
      <w:numFmt w:val="lowerRoman"/>
      <w:lvlText w:val="%6."/>
      <w:lvlJc w:val="right"/>
      <w:pPr>
        <w:ind w:left="6880" w:hanging="180"/>
      </w:pPr>
    </w:lvl>
    <w:lvl w:ilvl="6" w:tplc="0C0A000F" w:tentative="1">
      <w:start w:val="1"/>
      <w:numFmt w:val="decimal"/>
      <w:lvlText w:val="%7."/>
      <w:lvlJc w:val="left"/>
      <w:pPr>
        <w:ind w:left="7600" w:hanging="360"/>
      </w:pPr>
    </w:lvl>
    <w:lvl w:ilvl="7" w:tplc="0C0A0019" w:tentative="1">
      <w:start w:val="1"/>
      <w:numFmt w:val="lowerLetter"/>
      <w:lvlText w:val="%8."/>
      <w:lvlJc w:val="left"/>
      <w:pPr>
        <w:ind w:left="8320" w:hanging="360"/>
      </w:pPr>
    </w:lvl>
    <w:lvl w:ilvl="8" w:tplc="0C0A001B" w:tentative="1">
      <w:start w:val="1"/>
      <w:numFmt w:val="lowerRoman"/>
      <w:lvlText w:val="%9."/>
      <w:lvlJc w:val="right"/>
      <w:pPr>
        <w:ind w:left="9040" w:hanging="180"/>
      </w:pPr>
    </w:lvl>
  </w:abstractNum>
  <w:abstractNum w:abstractNumId="15">
    <w:nsid w:val="5E193018"/>
    <w:multiLevelType w:val="hybridMultilevel"/>
    <w:tmpl w:val="CC50CAA0"/>
    <w:lvl w:ilvl="0" w:tplc="B1187586">
      <w:start w:val="1"/>
      <w:numFmt w:val="lowerRoman"/>
      <w:lvlText w:val="%1."/>
      <w:lvlJc w:val="righ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6">
    <w:nsid w:val="5E1931F5"/>
    <w:multiLevelType w:val="hybridMultilevel"/>
    <w:tmpl w:val="91FA9AB2"/>
    <w:lvl w:ilvl="0" w:tplc="0D7EF60A">
      <w:start w:val="1"/>
      <w:numFmt w:val="decimal"/>
      <w:lvlText w:val="%1."/>
      <w:lvlJc w:val="left"/>
      <w:pPr>
        <w:tabs>
          <w:tab w:val="num" w:pos="360"/>
        </w:tabs>
        <w:ind w:left="360" w:hanging="360"/>
      </w:pPr>
      <w:rPr>
        <w:rFonts w:ascii="Tahoma" w:hAnsi="Tahoma" w:cs="Tahoma" w:hint="default"/>
        <w:b/>
        <w:sz w:val="20"/>
        <w:szCs w:val="20"/>
      </w:rPr>
    </w:lvl>
    <w:lvl w:ilvl="1" w:tplc="0C0A0019">
      <w:start w:val="12"/>
      <w:numFmt w:val="decimal"/>
      <w:lvlText w:val="%2."/>
      <w:lvlJc w:val="left"/>
      <w:pPr>
        <w:tabs>
          <w:tab w:val="num" w:pos="1440"/>
        </w:tabs>
        <w:ind w:left="1440" w:hanging="360"/>
      </w:pPr>
      <w:rPr>
        <w:rFonts w:hint="default"/>
        <w:b/>
      </w:rPr>
    </w:lvl>
    <w:lvl w:ilvl="2" w:tplc="0C0A001B" w:tentative="1">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7">
    <w:nsid w:val="616122C0"/>
    <w:multiLevelType w:val="hybridMultilevel"/>
    <w:tmpl w:val="22E2C15A"/>
    <w:lvl w:ilvl="0" w:tplc="0C0A0015">
      <w:start w:val="1"/>
      <w:numFmt w:val="lowerLetter"/>
      <w:lvlText w:val="%1)"/>
      <w:lvlJc w:val="left"/>
      <w:pPr>
        <w:ind w:left="1080" w:hanging="360"/>
      </w:pPr>
      <w:rPr>
        <w:rFonts w:hint="default"/>
        <w:b/>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8">
    <w:nsid w:val="653B5A99"/>
    <w:multiLevelType w:val="hybridMultilevel"/>
    <w:tmpl w:val="7B980FA0"/>
    <w:lvl w:ilvl="0" w:tplc="250A74F8">
      <w:start w:val="1"/>
      <w:numFmt w:val="decimal"/>
      <w:lvlText w:val="%1."/>
      <w:lvlJc w:val="left"/>
      <w:pPr>
        <w:ind w:left="720" w:hanging="360"/>
      </w:pPr>
      <w:rPr>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nsid w:val="66D30A47"/>
    <w:multiLevelType w:val="hybridMultilevel"/>
    <w:tmpl w:val="DAC09874"/>
    <w:lvl w:ilvl="0" w:tplc="330CB458">
      <w:start w:val="1"/>
      <w:numFmt w:val="decimal"/>
      <w:lvlText w:val="%1."/>
      <w:lvlJc w:val="left"/>
      <w:pPr>
        <w:ind w:left="720" w:hanging="360"/>
      </w:pPr>
      <w:rPr>
        <w:rFonts w:hint="default"/>
        <w:b/>
        <w:shadow/>
      </w:rPr>
    </w:lvl>
    <w:lvl w:ilvl="1" w:tplc="0C0A0019" w:tentative="1">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nsid w:val="6EA50FF8"/>
    <w:multiLevelType w:val="hybridMultilevel"/>
    <w:tmpl w:val="942E561C"/>
    <w:lvl w:ilvl="0" w:tplc="E5BE6922">
      <w:start w:val="1"/>
      <w:numFmt w:val="decimal"/>
      <w:lvlText w:val="%1."/>
      <w:lvlJc w:val="right"/>
      <w:pPr>
        <w:ind w:left="360" w:hanging="360"/>
      </w:pPr>
      <w:rPr>
        <w:rFonts w:ascii="Tahoma" w:hAnsi="Tahoma" w:hint="default"/>
        <w:b/>
        <w:i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nsid w:val="6ED82661"/>
    <w:multiLevelType w:val="hybridMultilevel"/>
    <w:tmpl w:val="951AA452"/>
    <w:lvl w:ilvl="0" w:tplc="46B4D042">
      <w:start w:val="1"/>
      <w:numFmt w:val="lowerLetter"/>
      <w:lvlText w:val="%1."/>
      <w:lvlJc w:val="left"/>
      <w:pPr>
        <w:tabs>
          <w:tab w:val="num" w:pos="1440"/>
        </w:tabs>
        <w:ind w:left="1440" w:hanging="360"/>
      </w:pPr>
      <w:rPr>
        <w:b/>
      </w:rPr>
    </w:lvl>
    <w:lvl w:ilvl="1" w:tplc="0C0A0019">
      <w:start w:val="1"/>
      <w:numFmt w:val="lowerLetter"/>
      <w:lvlText w:val="%2."/>
      <w:lvlJc w:val="left"/>
      <w:pPr>
        <w:tabs>
          <w:tab w:val="num" w:pos="1440"/>
        </w:tabs>
        <w:ind w:left="1440" w:hanging="360"/>
      </w:pPr>
    </w:lvl>
    <w:lvl w:ilvl="2" w:tplc="61B4AD0E">
      <w:start w:val="1"/>
      <w:numFmt w:val="decimal"/>
      <w:lvlText w:val="%3."/>
      <w:lvlJc w:val="left"/>
      <w:pPr>
        <w:tabs>
          <w:tab w:val="num" w:pos="2340"/>
        </w:tabs>
        <w:ind w:left="2340" w:hanging="360"/>
      </w:pPr>
      <w:rPr>
        <w:rFonts w:hint="default"/>
        <w:b/>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7384599B"/>
    <w:multiLevelType w:val="hybridMultilevel"/>
    <w:tmpl w:val="8D5EC736"/>
    <w:lvl w:ilvl="0" w:tplc="F5C055C0">
      <w:start w:val="1"/>
      <w:numFmt w:val="lowerLetter"/>
      <w:lvlText w:val="%1."/>
      <w:lvlJc w:val="left"/>
      <w:pPr>
        <w:ind w:left="1287" w:hanging="360"/>
      </w:pPr>
    </w:lvl>
    <w:lvl w:ilvl="1" w:tplc="0C0A0019">
      <w:start w:val="1"/>
      <w:numFmt w:val="decimal"/>
      <w:lvlText w:val="%2."/>
      <w:lvlJc w:val="left"/>
      <w:pPr>
        <w:tabs>
          <w:tab w:val="num" w:pos="1440"/>
        </w:tabs>
        <w:ind w:left="1440" w:hanging="360"/>
      </w:pPr>
    </w:lvl>
    <w:lvl w:ilvl="2" w:tplc="709221C6">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3">
    <w:nsid w:val="742A4401"/>
    <w:multiLevelType w:val="hybridMultilevel"/>
    <w:tmpl w:val="9FB8DAE2"/>
    <w:lvl w:ilvl="0" w:tplc="430EC130">
      <w:start w:val="1"/>
      <w:numFmt w:val="decimal"/>
      <w:lvlText w:val="%1."/>
      <w:lvlJc w:val="left"/>
      <w:pPr>
        <w:ind w:left="1287" w:hanging="360"/>
      </w:pPr>
      <w:rPr>
        <w:rFonts w:ascii="Tahoma" w:hAnsi="Tahoma" w:cs="Tahoma" w:hint="default"/>
        <w:b/>
        <w:sz w:val="20"/>
        <w:szCs w:val="20"/>
      </w:rPr>
    </w:lvl>
    <w:lvl w:ilvl="1" w:tplc="C8DE6CEA">
      <w:start w:val="1"/>
      <w:numFmt w:val="lowerLetter"/>
      <w:lvlText w:val="%2)"/>
      <w:lvlJc w:val="left"/>
      <w:pPr>
        <w:tabs>
          <w:tab w:val="num" w:pos="2007"/>
        </w:tabs>
        <w:ind w:left="2007" w:hanging="360"/>
      </w:pPr>
      <w:rPr>
        <w:rFonts w:hint="default"/>
        <w:b/>
        <w:lang w:val="es-ES"/>
      </w:r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24">
    <w:nsid w:val="77041A0B"/>
    <w:multiLevelType w:val="hybridMultilevel"/>
    <w:tmpl w:val="0624DA72"/>
    <w:lvl w:ilvl="0" w:tplc="0C0A000F">
      <w:start w:val="1"/>
      <w:numFmt w:val="lowerLetter"/>
      <w:lvlText w:val="%1)"/>
      <w:lvlJc w:val="left"/>
      <w:pPr>
        <w:ind w:left="1571" w:hanging="360"/>
      </w:pPr>
      <w:rPr>
        <w:rFonts w:hint="default"/>
        <w:b/>
        <w:lang w:val="es-ES"/>
      </w:rPr>
    </w:lvl>
    <w:lvl w:ilvl="1" w:tplc="0C0A0019" w:tentative="1">
      <w:start w:val="1"/>
      <w:numFmt w:val="lowerLetter"/>
      <w:lvlText w:val="%2."/>
      <w:lvlJc w:val="left"/>
      <w:pPr>
        <w:ind w:left="2291" w:hanging="360"/>
      </w:pPr>
    </w:lvl>
    <w:lvl w:ilvl="2" w:tplc="0C0A001B">
      <w:start w:val="1"/>
      <w:numFmt w:val="lowerRoman"/>
      <w:lvlText w:val="%3."/>
      <w:lvlJc w:val="right"/>
      <w:pPr>
        <w:ind w:left="3011" w:hanging="180"/>
      </w:pPr>
    </w:lvl>
    <w:lvl w:ilvl="3" w:tplc="0C0A000F" w:tentative="1">
      <w:start w:val="1"/>
      <w:numFmt w:val="decimal"/>
      <w:lvlText w:val="%4."/>
      <w:lvlJc w:val="left"/>
      <w:pPr>
        <w:ind w:left="3731" w:hanging="360"/>
      </w:pPr>
    </w:lvl>
    <w:lvl w:ilvl="4" w:tplc="0C0A0019" w:tentative="1">
      <w:start w:val="1"/>
      <w:numFmt w:val="lowerLetter"/>
      <w:lvlText w:val="%5."/>
      <w:lvlJc w:val="left"/>
      <w:pPr>
        <w:ind w:left="4451" w:hanging="360"/>
      </w:pPr>
    </w:lvl>
    <w:lvl w:ilvl="5" w:tplc="0C0A001B" w:tentative="1">
      <w:start w:val="1"/>
      <w:numFmt w:val="lowerRoman"/>
      <w:lvlText w:val="%6."/>
      <w:lvlJc w:val="right"/>
      <w:pPr>
        <w:ind w:left="5171" w:hanging="180"/>
      </w:pPr>
    </w:lvl>
    <w:lvl w:ilvl="6" w:tplc="0C0A000F" w:tentative="1">
      <w:start w:val="1"/>
      <w:numFmt w:val="decimal"/>
      <w:lvlText w:val="%7."/>
      <w:lvlJc w:val="left"/>
      <w:pPr>
        <w:ind w:left="5891" w:hanging="360"/>
      </w:pPr>
    </w:lvl>
    <w:lvl w:ilvl="7" w:tplc="0C0A0019" w:tentative="1">
      <w:start w:val="1"/>
      <w:numFmt w:val="lowerLetter"/>
      <w:lvlText w:val="%8."/>
      <w:lvlJc w:val="left"/>
      <w:pPr>
        <w:ind w:left="6611" w:hanging="360"/>
      </w:pPr>
    </w:lvl>
    <w:lvl w:ilvl="8" w:tplc="0C0A001B" w:tentative="1">
      <w:start w:val="1"/>
      <w:numFmt w:val="lowerRoman"/>
      <w:lvlText w:val="%9."/>
      <w:lvlJc w:val="right"/>
      <w:pPr>
        <w:ind w:left="7331" w:hanging="180"/>
      </w:pPr>
    </w:lvl>
  </w:abstractNum>
  <w:abstractNum w:abstractNumId="25">
    <w:nsid w:val="7EC759A6"/>
    <w:multiLevelType w:val="hybridMultilevel"/>
    <w:tmpl w:val="1B886FE6"/>
    <w:lvl w:ilvl="0" w:tplc="EEE8C01E">
      <w:start w:val="1"/>
      <w:numFmt w:val="decimal"/>
      <w:lvlText w:val="%1."/>
      <w:lvlJc w:val="left"/>
      <w:pPr>
        <w:tabs>
          <w:tab w:val="num" w:pos="360"/>
        </w:tabs>
        <w:ind w:left="360" w:hanging="360"/>
      </w:pPr>
      <w:rPr>
        <w:b/>
      </w:rPr>
    </w:lvl>
    <w:lvl w:ilvl="1" w:tplc="0C0A0019">
      <w:start w:val="1"/>
      <w:numFmt w:val="lowerLetter"/>
      <w:lvlText w:val="%2."/>
      <w:lvlJc w:val="left"/>
      <w:pPr>
        <w:tabs>
          <w:tab w:val="num" w:pos="1080"/>
        </w:tabs>
        <w:ind w:left="1080" w:hanging="360"/>
      </w:pPr>
      <w:rPr>
        <w:b/>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23"/>
  </w:num>
  <w:num w:numId="2">
    <w:abstractNumId w:val="16"/>
  </w:num>
  <w:num w:numId="3">
    <w:abstractNumId w:val="4"/>
  </w:num>
  <w:num w:numId="4">
    <w:abstractNumId w:val="6"/>
  </w:num>
  <w:num w:numId="5">
    <w:abstractNumId w:val="1"/>
  </w:num>
  <w:num w:numId="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
  </w:num>
  <w:num w:numId="10">
    <w:abstractNumId w:val="11"/>
  </w:num>
  <w:num w:numId="11">
    <w:abstractNumId w:val="12"/>
  </w:num>
  <w:num w:numId="12">
    <w:abstractNumId w:val="24"/>
  </w:num>
  <w:num w:numId="13">
    <w:abstractNumId w:val="18"/>
  </w:num>
  <w:num w:numId="14">
    <w:abstractNumId w:val="13"/>
  </w:num>
  <w:num w:numId="15">
    <w:abstractNumId w:val="21"/>
  </w:num>
  <w:num w:numId="16">
    <w:abstractNumId w:val="3"/>
  </w:num>
  <w:num w:numId="17">
    <w:abstractNumId w:val="19"/>
  </w:num>
  <w:num w:numId="18">
    <w:abstractNumId w:val="25"/>
  </w:num>
  <w:num w:numId="19">
    <w:abstractNumId w:val="15"/>
  </w:num>
  <w:num w:numId="20">
    <w:abstractNumId w:val="17"/>
  </w:num>
  <w:num w:numId="21">
    <w:abstractNumId w:val="10"/>
  </w:num>
  <w:num w:numId="22">
    <w:abstractNumId w:val="0"/>
  </w:num>
  <w:num w:numId="23">
    <w:abstractNumId w:val="20"/>
  </w:num>
  <w:num w:numId="24">
    <w:abstractNumId w:val="9"/>
  </w:num>
  <w:num w:numId="25">
    <w:abstractNumId w:val="5"/>
  </w:num>
  <w:num w:numId="26">
    <w:abstractNumId w:val="7"/>
  </w:num>
  <w:num w:numId="2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17410"/>
  </w:hdrShapeDefaults>
  <w:footnotePr>
    <w:footnote w:id="0"/>
    <w:footnote w:id="1"/>
  </w:footnotePr>
  <w:endnotePr>
    <w:endnote w:id="0"/>
    <w:endnote w:id="1"/>
  </w:endnotePr>
  <w:compat/>
  <w:rsids>
    <w:rsidRoot w:val="00711297"/>
    <w:rsid w:val="000070EB"/>
    <w:rsid w:val="000115B4"/>
    <w:rsid w:val="00015440"/>
    <w:rsid w:val="00066E33"/>
    <w:rsid w:val="000A3CD2"/>
    <w:rsid w:val="000B0720"/>
    <w:rsid w:val="000B6FEB"/>
    <w:rsid w:val="000E01D1"/>
    <w:rsid w:val="00101193"/>
    <w:rsid w:val="00141BCC"/>
    <w:rsid w:val="00142B7D"/>
    <w:rsid w:val="00162FCA"/>
    <w:rsid w:val="0016735A"/>
    <w:rsid w:val="001D57DE"/>
    <w:rsid w:val="001D728A"/>
    <w:rsid w:val="001E6A70"/>
    <w:rsid w:val="001F190A"/>
    <w:rsid w:val="001F38BE"/>
    <w:rsid w:val="002078ED"/>
    <w:rsid w:val="002401C1"/>
    <w:rsid w:val="0025293D"/>
    <w:rsid w:val="002578D8"/>
    <w:rsid w:val="00275158"/>
    <w:rsid w:val="00277B64"/>
    <w:rsid w:val="0029262B"/>
    <w:rsid w:val="002C46CB"/>
    <w:rsid w:val="002D1AB4"/>
    <w:rsid w:val="00303817"/>
    <w:rsid w:val="00305D8E"/>
    <w:rsid w:val="003067C3"/>
    <w:rsid w:val="003129E0"/>
    <w:rsid w:val="00332D11"/>
    <w:rsid w:val="0036432D"/>
    <w:rsid w:val="003B5386"/>
    <w:rsid w:val="003F28DF"/>
    <w:rsid w:val="0041002F"/>
    <w:rsid w:val="0041279D"/>
    <w:rsid w:val="004156B9"/>
    <w:rsid w:val="00423DAB"/>
    <w:rsid w:val="00431A1D"/>
    <w:rsid w:val="00452C37"/>
    <w:rsid w:val="00491A1B"/>
    <w:rsid w:val="00496C81"/>
    <w:rsid w:val="004A2F3F"/>
    <w:rsid w:val="004D2DDC"/>
    <w:rsid w:val="004E2E93"/>
    <w:rsid w:val="004F1A48"/>
    <w:rsid w:val="005757F4"/>
    <w:rsid w:val="00624E18"/>
    <w:rsid w:val="00661593"/>
    <w:rsid w:val="00665EE9"/>
    <w:rsid w:val="00685D04"/>
    <w:rsid w:val="006C3078"/>
    <w:rsid w:val="006D0EE9"/>
    <w:rsid w:val="007007F0"/>
    <w:rsid w:val="00711297"/>
    <w:rsid w:val="0077221D"/>
    <w:rsid w:val="007728C3"/>
    <w:rsid w:val="00792EBF"/>
    <w:rsid w:val="007C19F1"/>
    <w:rsid w:val="007D15DD"/>
    <w:rsid w:val="007D2B93"/>
    <w:rsid w:val="00806BF2"/>
    <w:rsid w:val="00806C06"/>
    <w:rsid w:val="00811526"/>
    <w:rsid w:val="008205CC"/>
    <w:rsid w:val="00822F18"/>
    <w:rsid w:val="008556BE"/>
    <w:rsid w:val="00857463"/>
    <w:rsid w:val="00871316"/>
    <w:rsid w:val="0087374F"/>
    <w:rsid w:val="00877F0D"/>
    <w:rsid w:val="00893198"/>
    <w:rsid w:val="008B56B1"/>
    <w:rsid w:val="009269B4"/>
    <w:rsid w:val="00986843"/>
    <w:rsid w:val="009871D2"/>
    <w:rsid w:val="009A2288"/>
    <w:rsid w:val="009B4922"/>
    <w:rsid w:val="009C3AD8"/>
    <w:rsid w:val="009C7372"/>
    <w:rsid w:val="00A00959"/>
    <w:rsid w:val="00A01498"/>
    <w:rsid w:val="00A23794"/>
    <w:rsid w:val="00A460D5"/>
    <w:rsid w:val="00A50577"/>
    <w:rsid w:val="00A539DF"/>
    <w:rsid w:val="00AD56A4"/>
    <w:rsid w:val="00AE34F7"/>
    <w:rsid w:val="00AE4C07"/>
    <w:rsid w:val="00B05429"/>
    <w:rsid w:val="00B17CAB"/>
    <w:rsid w:val="00B326B5"/>
    <w:rsid w:val="00B327B4"/>
    <w:rsid w:val="00BD1EAF"/>
    <w:rsid w:val="00BE0C34"/>
    <w:rsid w:val="00BF2EF7"/>
    <w:rsid w:val="00BF6919"/>
    <w:rsid w:val="00C156F5"/>
    <w:rsid w:val="00C345ED"/>
    <w:rsid w:val="00C3613C"/>
    <w:rsid w:val="00C46DE3"/>
    <w:rsid w:val="00C6431F"/>
    <w:rsid w:val="00C737FA"/>
    <w:rsid w:val="00C930B1"/>
    <w:rsid w:val="00CC02FE"/>
    <w:rsid w:val="00CE3EE9"/>
    <w:rsid w:val="00D36413"/>
    <w:rsid w:val="00D63ECF"/>
    <w:rsid w:val="00D75CB2"/>
    <w:rsid w:val="00D83E6E"/>
    <w:rsid w:val="00DD0EB3"/>
    <w:rsid w:val="00E376A0"/>
    <w:rsid w:val="00E53BE0"/>
    <w:rsid w:val="00E92B54"/>
    <w:rsid w:val="00E949AC"/>
    <w:rsid w:val="00EA1648"/>
    <w:rsid w:val="00EA5F27"/>
    <w:rsid w:val="00EB60D5"/>
    <w:rsid w:val="00EC725E"/>
    <w:rsid w:val="00EE0B96"/>
    <w:rsid w:val="00F30719"/>
    <w:rsid w:val="00F543DD"/>
    <w:rsid w:val="00F81266"/>
    <w:rsid w:val="00FA55CE"/>
    <w:rsid w:val="00FE18D9"/>
    <w:rsid w:val="00FE6DDC"/>
    <w:rsid w:val="00FF747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1297"/>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711297"/>
    <w:pPr>
      <w:spacing w:after="120"/>
    </w:pPr>
    <w:rPr>
      <w:sz w:val="16"/>
      <w:szCs w:val="16"/>
      <w:lang w:val="es-PE"/>
    </w:rPr>
  </w:style>
  <w:style w:type="character" w:customStyle="1" w:styleId="Textoindependiente3Car">
    <w:name w:val="Texto independiente 3 Car"/>
    <w:basedOn w:val="Fuentedeprrafopredeter"/>
    <w:link w:val="Textoindependiente3"/>
    <w:rsid w:val="00711297"/>
    <w:rPr>
      <w:rFonts w:ascii="Times New Roman" w:eastAsia="Times New Roman" w:hAnsi="Times New Roman" w:cs="Times New Roman"/>
      <w:sz w:val="16"/>
      <w:szCs w:val="16"/>
      <w:lang w:val="es-PE" w:eastAsia="es-ES"/>
    </w:rPr>
  </w:style>
  <w:style w:type="paragraph" w:styleId="Prrafodelista">
    <w:name w:val="List Paragraph"/>
    <w:basedOn w:val="Normal"/>
    <w:qFormat/>
    <w:rsid w:val="00711297"/>
    <w:pPr>
      <w:ind w:left="720"/>
      <w:contextualSpacing/>
    </w:pPr>
  </w:style>
  <w:style w:type="paragraph" w:styleId="Textonotapie">
    <w:name w:val="footnote text"/>
    <w:aliases w:val=" Car,Car,Car Car,Car Car Car,Texto nota pie1, Car4,Car4,Body Text, Car2 Car Car Car Car Car, Car2 Car, Car2, Car1 Car"/>
    <w:basedOn w:val="Normal"/>
    <w:link w:val="TextonotapieCar"/>
    <w:rsid w:val="00711297"/>
    <w:rPr>
      <w:sz w:val="20"/>
      <w:szCs w:val="20"/>
    </w:rPr>
  </w:style>
  <w:style w:type="character" w:customStyle="1" w:styleId="TextonotapieCar">
    <w:name w:val="Texto nota pie Car"/>
    <w:aliases w:val=" Car Car,Car Car1,Car Car Car1,Car Car Car Car,Texto nota pie1 Car, Car4 Car,Car4 Car,Body Text Car, Car2 Car Car Car Car Car Car, Car2 Car Car, Car2 Car1, Car1 Car Car"/>
    <w:basedOn w:val="Fuentedeprrafopredeter"/>
    <w:link w:val="Textonotapie"/>
    <w:rsid w:val="00711297"/>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711297"/>
    <w:rPr>
      <w:rFonts w:cs="Times New Roman"/>
      <w:vertAlign w:val="superscript"/>
    </w:rPr>
  </w:style>
  <w:style w:type="paragraph" w:styleId="Sinespaciado">
    <w:name w:val="No Spacing"/>
    <w:uiPriority w:val="1"/>
    <w:qFormat/>
    <w:rsid w:val="00711297"/>
    <w:pPr>
      <w:spacing w:after="0" w:line="240" w:lineRule="auto"/>
    </w:pPr>
    <w:rPr>
      <w:rFonts w:ascii="Calibri" w:eastAsia="Calibri" w:hAnsi="Calibri" w:cs="Times New Roman"/>
    </w:rPr>
  </w:style>
  <w:style w:type="paragraph" w:customStyle="1" w:styleId="Textoindependiente21">
    <w:name w:val="Texto independiente 21"/>
    <w:basedOn w:val="Normal"/>
    <w:rsid w:val="00711297"/>
    <w:pPr>
      <w:jc w:val="both"/>
    </w:pPr>
    <w:rPr>
      <w:rFonts w:ascii="Tahoma" w:hAnsi="Tahoma"/>
      <w:sz w:val="22"/>
      <w:szCs w:val="20"/>
    </w:rPr>
  </w:style>
  <w:style w:type="paragraph" w:styleId="Piedepgina">
    <w:name w:val="footer"/>
    <w:basedOn w:val="Normal"/>
    <w:link w:val="PiedepginaCar"/>
    <w:uiPriority w:val="99"/>
    <w:unhideWhenUsed/>
    <w:rsid w:val="00711297"/>
    <w:pPr>
      <w:tabs>
        <w:tab w:val="center" w:pos="4252"/>
        <w:tab w:val="right" w:pos="8504"/>
      </w:tabs>
    </w:pPr>
  </w:style>
  <w:style w:type="character" w:customStyle="1" w:styleId="PiedepginaCar">
    <w:name w:val="Pie de página Car"/>
    <w:basedOn w:val="Fuentedeprrafopredeter"/>
    <w:link w:val="Piedepgina"/>
    <w:uiPriority w:val="99"/>
    <w:rsid w:val="00711297"/>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nhideWhenUsed/>
    <w:rsid w:val="00711297"/>
    <w:pPr>
      <w:spacing w:after="120"/>
    </w:pPr>
  </w:style>
  <w:style w:type="character" w:customStyle="1" w:styleId="TextoindependienteCar">
    <w:name w:val="Texto independiente Car"/>
    <w:basedOn w:val="Fuentedeprrafopredeter"/>
    <w:link w:val="Textoindependiente"/>
    <w:rsid w:val="00711297"/>
    <w:rPr>
      <w:rFonts w:ascii="Times New Roman" w:eastAsia="Times New Roman" w:hAnsi="Times New Roman" w:cs="Times New Roman"/>
      <w:sz w:val="24"/>
      <w:szCs w:val="24"/>
      <w:lang w:eastAsia="es-ES"/>
    </w:rPr>
  </w:style>
  <w:style w:type="paragraph" w:styleId="Textoindependiente2">
    <w:name w:val="Body Text 2"/>
    <w:basedOn w:val="Normal"/>
    <w:link w:val="Textoindependiente2Car"/>
    <w:unhideWhenUsed/>
    <w:rsid w:val="00877F0D"/>
    <w:pPr>
      <w:spacing w:after="120" w:line="480" w:lineRule="auto"/>
    </w:pPr>
    <w:rPr>
      <w:sz w:val="20"/>
      <w:szCs w:val="20"/>
    </w:rPr>
  </w:style>
  <w:style w:type="character" w:customStyle="1" w:styleId="Textoindependiente2Car">
    <w:name w:val="Texto independiente 2 Car"/>
    <w:basedOn w:val="Fuentedeprrafopredeter"/>
    <w:link w:val="Textoindependiente2"/>
    <w:rsid w:val="00877F0D"/>
    <w:rPr>
      <w:rFonts w:ascii="Times New Roman" w:eastAsia="Times New Roman" w:hAnsi="Times New Roman" w:cs="Times New Roman"/>
      <w:sz w:val="20"/>
      <w:szCs w:val="20"/>
      <w:lang w:eastAsia="es-ES"/>
    </w:rPr>
  </w:style>
  <w:style w:type="paragraph" w:styleId="Sangradetextonormal">
    <w:name w:val="Body Text Indent"/>
    <w:basedOn w:val="Normal"/>
    <w:link w:val="SangradetextonormalCar"/>
    <w:uiPriority w:val="99"/>
    <w:unhideWhenUsed/>
    <w:rsid w:val="00986843"/>
    <w:pPr>
      <w:spacing w:after="120"/>
      <w:ind w:left="283"/>
      <w:jc w:val="both"/>
    </w:pPr>
    <w:rPr>
      <w:rFonts w:ascii="Tahoma" w:eastAsia="Calibri" w:hAnsi="Tahoma"/>
      <w:sz w:val="22"/>
      <w:szCs w:val="22"/>
      <w:lang w:eastAsia="en-US"/>
    </w:rPr>
  </w:style>
  <w:style w:type="character" w:customStyle="1" w:styleId="SangradetextonormalCar">
    <w:name w:val="Sangría de texto normal Car"/>
    <w:basedOn w:val="Fuentedeprrafopredeter"/>
    <w:link w:val="Sangradetextonormal"/>
    <w:uiPriority w:val="99"/>
    <w:rsid w:val="00986843"/>
    <w:rPr>
      <w:rFonts w:ascii="Tahoma" w:eastAsia="Calibri" w:hAnsi="Tahoma" w:cs="Times New Roman"/>
    </w:rPr>
  </w:style>
  <w:style w:type="paragraph" w:styleId="Encabezado">
    <w:name w:val="header"/>
    <w:aliases w:val="maria,h"/>
    <w:basedOn w:val="Normal"/>
    <w:link w:val="EncabezadoCar"/>
    <w:uiPriority w:val="99"/>
    <w:semiHidden/>
    <w:unhideWhenUsed/>
    <w:rsid w:val="00491A1B"/>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491A1B"/>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67727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10</Pages>
  <Words>4322</Words>
  <Characters>23776</Characters>
  <Application>Microsoft Office Word</Application>
  <DocSecurity>0</DocSecurity>
  <Lines>198</Lines>
  <Paragraphs>56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dc:creator>
  <cp:keywords/>
  <dc:description/>
  <cp:lastModifiedBy>bcaceres</cp:lastModifiedBy>
  <cp:revision>135</cp:revision>
  <cp:lastPrinted>2010-08-31T15:17:00Z</cp:lastPrinted>
  <dcterms:created xsi:type="dcterms:W3CDTF">2009-12-29T20:43:00Z</dcterms:created>
  <dcterms:modified xsi:type="dcterms:W3CDTF">2011-04-06T16:30:00Z</dcterms:modified>
</cp:coreProperties>
</file>